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D0F76" w:rsidP="00254735">
            <w:pPr>
              <w:rPr>
                <w:rFonts w:ascii="Arial Narrow" w:hAnsi="Arial Narrow"/>
              </w:rPr>
            </w:pPr>
            <w:r>
              <w:rPr>
                <w:rFonts w:ascii="Arial Narrow" w:hAnsi="Arial Narrow"/>
              </w:rPr>
              <w:t>Risk and Insurance Department</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60EE2" w:rsidP="00FD03FE">
            <w:pPr>
              <w:rPr>
                <w:rFonts w:ascii="Arial Narrow" w:hAnsi="Arial Narrow" w:cs="Arial"/>
              </w:rPr>
            </w:pPr>
            <w:r w:rsidRPr="00590761">
              <w:rPr>
                <w:rFonts w:ascii="Arial Narrow" w:hAnsi="Arial Narrow" w:cs="Arial"/>
                <w:sz w:val="22"/>
                <w:szCs w:val="22"/>
              </w:rPr>
              <w:t>REPORT for July 1, 20</w:t>
            </w:r>
            <w:r w:rsidR="00FD03FE" w:rsidRPr="00590761">
              <w:rPr>
                <w:rFonts w:ascii="Arial Narrow" w:hAnsi="Arial Narrow" w:cs="Arial"/>
                <w:sz w:val="22"/>
                <w:szCs w:val="22"/>
              </w:rPr>
              <w:t>11</w:t>
            </w:r>
            <w:r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1D7818" w:rsidP="001D7818">
            <w:pPr>
              <w:rPr>
                <w:rFonts w:ascii="Arial Narrow" w:hAnsi="Arial Narrow" w:cs="Arial"/>
              </w:rPr>
            </w:pPr>
            <w:r>
              <w:rPr>
                <w:rFonts w:ascii="Arial Narrow" w:hAnsi="Arial Narrow" w:cs="Arial"/>
              </w:rPr>
              <w:t>8</w:t>
            </w:r>
            <w:r w:rsidR="00CD0F76">
              <w:rPr>
                <w:rFonts w:ascii="Arial Narrow" w:hAnsi="Arial Narrow" w:cs="Arial"/>
              </w:rPr>
              <w:t>/</w:t>
            </w:r>
            <w:r>
              <w:rPr>
                <w:rFonts w:ascii="Arial Narrow" w:hAnsi="Arial Narrow" w:cs="Arial"/>
              </w:rPr>
              <w:t>9</w:t>
            </w:r>
            <w:r w:rsidR="00CD0F76">
              <w:rPr>
                <w:rFonts w:ascii="Arial Narrow" w:hAnsi="Arial Narrow" w:cs="Arial"/>
              </w:rPr>
              <w:t>/1</w:t>
            </w:r>
            <w:r w:rsidR="00547CA8">
              <w:rPr>
                <w:rFonts w:ascii="Arial Narrow" w:hAnsi="Arial Narrow" w:cs="Arial"/>
              </w:rPr>
              <w:t>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547CA8" w:rsidP="00547CA8">
            <w:pPr>
              <w:rPr>
                <w:rFonts w:ascii="Arial Narrow" w:hAnsi="Arial Narrow"/>
              </w:rPr>
            </w:pPr>
            <w:r>
              <w:rPr>
                <w:rFonts w:ascii="Arial Narrow" w:hAnsi="Arial Narrow"/>
              </w:rPr>
              <w:t>James W. Bradley</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CD0F76">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CD0F76">
              <w:rPr>
                <w:rFonts w:ascii="Arial Narrow" w:hAnsi="Arial Narrow" w:cs="Arial"/>
                <w:b/>
                <w:sz w:val="22"/>
                <w:szCs w:val="22"/>
              </w:rPr>
              <w:t xml:space="preserve">X </w:t>
            </w:r>
            <w:r w:rsidR="007D2C63">
              <w:rPr>
                <w:rFonts w:ascii="Arial Narrow" w:hAnsi="Arial Narrow" w:cs="Arial"/>
                <w:b/>
                <w:sz w:val="22"/>
                <w:szCs w:val="22"/>
              </w:rPr>
              <w:t xml:space="preserve">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CD0F76" w:rsidRPr="00EC3F7E" w:rsidRDefault="00CD0F76" w:rsidP="00CD0F76">
            <w:pPr>
              <w:pStyle w:val="PlainText"/>
              <w:rPr>
                <w:rFonts w:ascii="Arial Narrow" w:hAnsi="Arial Narrow" w:cs="Arial"/>
                <w:sz w:val="22"/>
                <w:szCs w:val="22"/>
              </w:rPr>
            </w:pPr>
          </w:p>
          <w:p w:rsidR="00CD0F76" w:rsidRPr="00EC3F7E" w:rsidRDefault="00CD0F76" w:rsidP="00CD0F76">
            <w:pPr>
              <w:pStyle w:val="PlainText"/>
              <w:rPr>
                <w:rFonts w:ascii="Arial Narrow" w:hAnsi="Arial Narrow"/>
                <w:sz w:val="22"/>
                <w:szCs w:val="22"/>
              </w:rPr>
            </w:pPr>
            <w:r w:rsidRPr="00EC3F7E">
              <w:rPr>
                <w:rFonts w:ascii="Arial Narrow" w:hAnsi="Arial Narrow" w:cs="Arial"/>
                <w:sz w:val="22"/>
                <w:szCs w:val="22"/>
              </w:rPr>
              <w:t xml:space="preserve">The mission of the Risk and Insurance Management Department </w:t>
            </w:r>
            <w:r w:rsidRPr="00EC3F7E">
              <w:rPr>
                <w:rFonts w:ascii="Arial Narrow" w:hAnsi="Arial Narrow"/>
                <w:sz w:val="22"/>
                <w:szCs w:val="22"/>
              </w:rPr>
              <w:t>is to manage the University’s risk of financial loss from property and liability exposures through a continuous process of identifying and analyzing exposures to loss, selecting a combination of risk management techniques to handle each exposure, monitoring and making appropriate changes as needed.</w:t>
            </w:r>
          </w:p>
          <w:p w:rsidR="007C53D1" w:rsidRPr="00EC3F7E" w:rsidRDefault="007C53D1" w:rsidP="00E47E9A">
            <w:pPr>
              <w:rPr>
                <w:rFonts w:ascii="Arial Narrow" w:hAnsi="Arial Narrow" w:cs="Arial"/>
              </w:rPr>
            </w:pP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4E4B07"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4E4B07"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A0346" w:rsidRPr="0013440D" w:rsidRDefault="00D05BEC" w:rsidP="001A6BFB">
            <w:pPr>
              <w:spacing w:after="240"/>
              <w:rPr>
                <w:rFonts w:ascii="Arial Narrow" w:hAnsi="Arial Narrow" w:cs="Arial"/>
              </w:rPr>
            </w:pPr>
            <w:r>
              <w:rPr>
                <w:rFonts w:ascii="Arial Narrow" w:hAnsi="Arial Narrow"/>
                <w:sz w:val="22"/>
                <w:szCs w:val="22"/>
              </w:rPr>
              <w:t>T</w:t>
            </w:r>
            <w:r w:rsidR="009175FC" w:rsidRPr="0013440D">
              <w:rPr>
                <w:rFonts w:ascii="Arial Narrow" w:hAnsi="Arial Narrow"/>
                <w:sz w:val="22"/>
                <w:szCs w:val="22"/>
              </w:rPr>
              <w:t>h</w:t>
            </w:r>
            <w:r>
              <w:rPr>
                <w:rFonts w:ascii="Arial Narrow" w:hAnsi="Arial Narrow"/>
                <w:sz w:val="22"/>
                <w:szCs w:val="22"/>
              </w:rPr>
              <w:t xml:space="preserve">e purpose of this objective is to create a Cost of Risk Report which summarizes the total cost of all of the property and liability insurance programs which fall within the responsibility of this department.   This will summarize the current year’s cost as well as those for the previous 4 years.  It will be shared with University financial management and </w:t>
            </w:r>
            <w:r w:rsidR="001A6BFB">
              <w:rPr>
                <w:rFonts w:ascii="Arial Narrow" w:hAnsi="Arial Narrow"/>
                <w:sz w:val="22"/>
                <w:szCs w:val="22"/>
              </w:rPr>
              <w:t>assist</w:t>
            </w:r>
            <w:r>
              <w:rPr>
                <w:rFonts w:ascii="Arial Narrow" w:hAnsi="Arial Narrow"/>
                <w:sz w:val="22"/>
                <w:szCs w:val="22"/>
              </w:rPr>
              <w:t xml:space="preserve"> the Risk Manager and reader </w:t>
            </w:r>
            <w:r w:rsidR="001A6BFB">
              <w:rPr>
                <w:rFonts w:ascii="Arial Narrow" w:hAnsi="Arial Narrow"/>
                <w:sz w:val="22"/>
                <w:szCs w:val="22"/>
              </w:rPr>
              <w:t>in identifying trends in costs, potential problem areas and forecast costs for coming years.</w:t>
            </w:r>
            <w:r>
              <w:rPr>
                <w:rFonts w:ascii="Arial Narrow" w:hAnsi="Arial Narrow"/>
                <w:sz w:val="22"/>
                <w:szCs w:val="22"/>
              </w:rPr>
              <w:t xml:space="preserve">   </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1A6BFB" w:rsidRDefault="00D05BEC" w:rsidP="001A6BFB">
            <w:pPr>
              <w:rPr>
                <w:rFonts w:ascii="Arial Narrow" w:hAnsi="Arial Narrow"/>
              </w:rPr>
            </w:pPr>
            <w:r w:rsidRPr="0013440D">
              <w:rPr>
                <w:rFonts w:ascii="Arial Narrow" w:hAnsi="Arial Narrow"/>
                <w:sz w:val="22"/>
                <w:szCs w:val="22"/>
              </w:rPr>
              <w:t xml:space="preserve">The University’s </w:t>
            </w:r>
            <w:r w:rsidR="001A6BFB">
              <w:rPr>
                <w:rFonts w:ascii="Arial Narrow" w:hAnsi="Arial Narrow"/>
                <w:sz w:val="22"/>
                <w:szCs w:val="22"/>
              </w:rPr>
              <w:t>C</w:t>
            </w:r>
            <w:r w:rsidRPr="0013440D">
              <w:rPr>
                <w:rFonts w:ascii="Arial Narrow" w:hAnsi="Arial Narrow"/>
                <w:sz w:val="22"/>
                <w:szCs w:val="22"/>
              </w:rPr>
              <w:t xml:space="preserve">ost of </w:t>
            </w:r>
            <w:r w:rsidR="001A6BFB">
              <w:rPr>
                <w:rFonts w:ascii="Arial Narrow" w:hAnsi="Arial Narrow"/>
                <w:sz w:val="22"/>
                <w:szCs w:val="22"/>
              </w:rPr>
              <w:t>R</w:t>
            </w:r>
            <w:r w:rsidRPr="0013440D">
              <w:rPr>
                <w:rFonts w:ascii="Arial Narrow" w:hAnsi="Arial Narrow"/>
                <w:sz w:val="22"/>
                <w:szCs w:val="22"/>
              </w:rPr>
              <w:t>isk is a measure of the total cost of all aspects of its operations that relate to</w:t>
            </w:r>
            <w:r w:rsidR="00E365DF">
              <w:rPr>
                <w:rFonts w:ascii="Arial Narrow" w:hAnsi="Arial Narrow"/>
                <w:sz w:val="22"/>
                <w:szCs w:val="22"/>
              </w:rPr>
              <w:t xml:space="preserve"> property and liability</w:t>
            </w:r>
            <w:r w:rsidRPr="0013440D">
              <w:rPr>
                <w:rFonts w:ascii="Arial Narrow" w:hAnsi="Arial Narrow"/>
                <w:sz w:val="22"/>
                <w:szCs w:val="22"/>
              </w:rPr>
              <w:t xml:space="preserve"> risk, including</w:t>
            </w:r>
            <w:r w:rsidR="001A6BFB">
              <w:rPr>
                <w:rFonts w:ascii="Arial Narrow" w:hAnsi="Arial Narrow"/>
                <w:sz w:val="22"/>
                <w:szCs w:val="22"/>
              </w:rPr>
              <w:t xml:space="preserve"> insurance premiums, self insured losses, loss control expenses, and Risk Management Department administrative expenses.</w:t>
            </w:r>
          </w:p>
          <w:p w:rsidR="001A6BFB" w:rsidRDefault="001A6BFB" w:rsidP="001A6BFB">
            <w:pPr>
              <w:rPr>
                <w:rFonts w:ascii="Arial Narrow" w:hAnsi="Arial Narrow"/>
              </w:rPr>
            </w:pPr>
          </w:p>
          <w:p w:rsidR="009A6357" w:rsidRDefault="009A6357" w:rsidP="009A6357">
            <w:pPr>
              <w:rPr>
                <w:rFonts w:ascii="Arial Narrow" w:hAnsi="Arial Narrow"/>
              </w:rPr>
            </w:pPr>
            <w:r>
              <w:rPr>
                <w:rFonts w:ascii="Arial Narrow" w:hAnsi="Arial Narrow"/>
                <w:sz w:val="22"/>
                <w:szCs w:val="22"/>
              </w:rPr>
              <w:t>1a. Create the report format and gather and summarize</w:t>
            </w:r>
            <w:r w:rsidR="00D05BEC">
              <w:rPr>
                <w:rFonts w:ascii="Arial Narrow" w:hAnsi="Arial Narrow"/>
                <w:sz w:val="22"/>
                <w:szCs w:val="22"/>
              </w:rPr>
              <w:t xml:space="preserve"> </w:t>
            </w:r>
            <w:r>
              <w:rPr>
                <w:rFonts w:ascii="Arial Narrow" w:hAnsi="Arial Narrow"/>
                <w:sz w:val="22"/>
                <w:szCs w:val="22"/>
              </w:rPr>
              <w:t>the expenses for the four years ended June 30, 2011 by 10/1/11.</w:t>
            </w:r>
          </w:p>
          <w:p w:rsidR="00254735" w:rsidRDefault="009A6357" w:rsidP="009A6357">
            <w:pPr>
              <w:rPr>
                <w:rFonts w:ascii="Arial Narrow" w:hAnsi="Arial Narrow"/>
              </w:rPr>
            </w:pPr>
            <w:r>
              <w:rPr>
                <w:rFonts w:ascii="Arial Narrow" w:hAnsi="Arial Narrow"/>
                <w:sz w:val="22"/>
                <w:szCs w:val="22"/>
              </w:rPr>
              <w:t>1b. Gather and summarize the expense</w:t>
            </w:r>
            <w:r w:rsidR="00DA6FB7">
              <w:rPr>
                <w:rFonts w:ascii="Arial Narrow" w:hAnsi="Arial Narrow"/>
                <w:sz w:val="22"/>
                <w:szCs w:val="22"/>
              </w:rPr>
              <w:t xml:space="preserve"> data</w:t>
            </w:r>
            <w:r>
              <w:rPr>
                <w:rFonts w:ascii="Arial Narrow" w:hAnsi="Arial Narrow"/>
                <w:sz w:val="22"/>
                <w:szCs w:val="22"/>
              </w:rPr>
              <w:t xml:space="preserve"> for the year ended June 30, 2012 by 8/1/1</w:t>
            </w:r>
            <w:r w:rsidR="006816B9">
              <w:rPr>
                <w:rFonts w:ascii="Arial Narrow" w:hAnsi="Arial Narrow"/>
                <w:sz w:val="22"/>
                <w:szCs w:val="22"/>
              </w:rPr>
              <w:t>2</w:t>
            </w:r>
            <w:r>
              <w:rPr>
                <w:rFonts w:ascii="Arial Narrow" w:hAnsi="Arial Narrow"/>
                <w:sz w:val="22"/>
                <w:szCs w:val="22"/>
              </w:rPr>
              <w:t xml:space="preserve">. </w:t>
            </w:r>
          </w:p>
          <w:p w:rsidR="009A6357" w:rsidRPr="009860CD" w:rsidRDefault="009A6357" w:rsidP="002410D9">
            <w:pPr>
              <w:rPr>
                <w:rFonts w:ascii="Arial Narrow" w:hAnsi="Arial Narrow"/>
              </w:rPr>
            </w:pPr>
            <w:r>
              <w:rPr>
                <w:rFonts w:ascii="Arial Narrow" w:hAnsi="Arial Narrow"/>
                <w:sz w:val="22"/>
                <w:szCs w:val="22"/>
              </w:rPr>
              <w:t xml:space="preserve">1c. </w:t>
            </w:r>
            <w:r w:rsidR="00DA6FB7">
              <w:rPr>
                <w:rFonts w:ascii="Arial Narrow" w:hAnsi="Arial Narrow"/>
                <w:sz w:val="22"/>
                <w:szCs w:val="22"/>
              </w:rPr>
              <w:t xml:space="preserve">Analyze the data gathered, identifying trends and problem </w:t>
            </w:r>
            <w:r w:rsidR="006816B9">
              <w:rPr>
                <w:rFonts w:ascii="Arial Narrow" w:hAnsi="Arial Narrow"/>
                <w:sz w:val="22"/>
                <w:szCs w:val="22"/>
              </w:rPr>
              <w:t>a</w:t>
            </w:r>
            <w:r w:rsidR="00DA6FB7">
              <w:rPr>
                <w:rFonts w:ascii="Arial Narrow" w:hAnsi="Arial Narrow"/>
                <w:sz w:val="22"/>
                <w:szCs w:val="22"/>
              </w:rPr>
              <w:t>reas</w:t>
            </w:r>
            <w:r w:rsidR="006816B9">
              <w:rPr>
                <w:rFonts w:ascii="Arial Narrow" w:hAnsi="Arial Narrow"/>
                <w:sz w:val="22"/>
                <w:szCs w:val="22"/>
              </w:rPr>
              <w:t>, including potential causes by 8/15/12.</w:t>
            </w:r>
          </w:p>
        </w:tc>
      </w:tr>
      <w:tr w:rsidR="00254735" w:rsidRPr="009860CD" w:rsidTr="00254735">
        <w:tc>
          <w:tcPr>
            <w:tcW w:w="5364" w:type="dxa"/>
            <w:tcBorders>
              <w:top w:val="nil"/>
              <w:left w:val="nil"/>
              <w:bottom w:val="nil"/>
              <w:right w:val="nil"/>
            </w:tcBorders>
            <w:vAlign w:val="center"/>
          </w:tcPr>
          <w:p w:rsidR="00254735" w:rsidRDefault="00CE01D3" w:rsidP="00547CA8">
            <w:pPr>
              <w:spacing w:after="120"/>
              <w:ind w:right="-162"/>
              <w:rPr>
                <w:rFonts w:ascii="Arial Narrow" w:hAnsi="Arial Narrow" w:cs="Arial"/>
                <w:b/>
                <w:sz w:val="22"/>
                <w:szCs w:val="22"/>
              </w:rPr>
            </w:pPr>
            <w:r w:rsidRPr="009860CD">
              <w:rPr>
                <w:rFonts w:ascii="Arial Narrow" w:hAnsi="Arial Narrow" w:cs="Arial"/>
                <w:b/>
                <w:sz w:val="22"/>
                <w:szCs w:val="22"/>
              </w:rPr>
              <w:lastRenderedPageBreak/>
              <w:t>Summary of Data Collected</w:t>
            </w:r>
          </w:p>
          <w:p w:rsidR="00547CA8" w:rsidRDefault="00547CA8" w:rsidP="002410D9">
            <w:pPr>
              <w:spacing w:after="120"/>
              <w:ind w:right="-162"/>
              <w:rPr>
                <w:rFonts w:ascii="Arial Narrow" w:hAnsi="Arial Narrow" w:cs="Arial"/>
                <w:sz w:val="22"/>
                <w:szCs w:val="22"/>
              </w:rPr>
            </w:pPr>
            <w:r w:rsidRPr="002410D9">
              <w:rPr>
                <w:rFonts w:ascii="Arial Narrow" w:hAnsi="Arial Narrow" w:cs="Arial"/>
                <w:sz w:val="22"/>
                <w:szCs w:val="22"/>
              </w:rPr>
              <w:t>The Cost of Risk Report</w:t>
            </w:r>
            <w:r w:rsidR="002410D9">
              <w:rPr>
                <w:rFonts w:ascii="Arial Narrow" w:hAnsi="Arial Narrow" w:cs="Arial"/>
                <w:sz w:val="22"/>
                <w:szCs w:val="22"/>
              </w:rPr>
              <w:t xml:space="preserve"> was created </w:t>
            </w:r>
            <w:r w:rsidRPr="002410D9">
              <w:rPr>
                <w:rFonts w:ascii="Arial Narrow" w:hAnsi="Arial Narrow" w:cs="Arial"/>
                <w:sz w:val="22"/>
                <w:szCs w:val="22"/>
              </w:rPr>
              <w:t>for the 5 years ended June 30, 2011 and the</w:t>
            </w:r>
            <w:r w:rsidR="002410D9">
              <w:rPr>
                <w:rFonts w:ascii="Arial Narrow" w:hAnsi="Arial Narrow" w:cs="Arial"/>
                <w:sz w:val="22"/>
                <w:szCs w:val="22"/>
              </w:rPr>
              <w:t xml:space="preserve"> collected</w:t>
            </w:r>
            <w:r w:rsidRPr="002410D9">
              <w:rPr>
                <w:rFonts w:ascii="Arial Narrow" w:hAnsi="Arial Narrow" w:cs="Arial"/>
                <w:sz w:val="22"/>
                <w:szCs w:val="22"/>
              </w:rPr>
              <w:t xml:space="preserve"> data was analyzed. </w:t>
            </w:r>
          </w:p>
          <w:p w:rsidR="002410D9" w:rsidRDefault="002410D9" w:rsidP="002410D9">
            <w:pPr>
              <w:rPr>
                <w:rFonts w:ascii="Calibri" w:hAnsi="Calibri" w:cs="Calibri"/>
                <w:color w:val="000000"/>
                <w:sz w:val="22"/>
                <w:szCs w:val="22"/>
              </w:rPr>
            </w:pPr>
            <w:r>
              <w:rPr>
                <w:rFonts w:ascii="Calibri" w:hAnsi="Calibri" w:cs="Calibri"/>
                <w:color w:val="000000"/>
                <w:sz w:val="22"/>
                <w:szCs w:val="22"/>
              </w:rPr>
              <w:t>Insurance premiums paid decreased slightly over the period, even with the addition of a new insurance coverage.</w:t>
            </w:r>
          </w:p>
          <w:p w:rsidR="002410D9" w:rsidRDefault="002410D9" w:rsidP="002410D9">
            <w:pPr>
              <w:rPr>
                <w:rFonts w:ascii="Calibri" w:hAnsi="Calibri" w:cs="Calibri"/>
                <w:color w:val="000000"/>
                <w:sz w:val="22"/>
                <w:szCs w:val="22"/>
              </w:rPr>
            </w:pPr>
          </w:p>
          <w:p w:rsidR="002410D9" w:rsidRDefault="002410D9" w:rsidP="002410D9">
            <w:pPr>
              <w:rPr>
                <w:rFonts w:ascii="Calibri" w:hAnsi="Calibri" w:cs="Calibri"/>
                <w:color w:val="000000"/>
                <w:sz w:val="22"/>
                <w:szCs w:val="22"/>
              </w:rPr>
            </w:pPr>
            <w:r>
              <w:rPr>
                <w:rFonts w:ascii="Calibri" w:hAnsi="Calibri" w:cs="Calibri"/>
                <w:color w:val="000000"/>
                <w:sz w:val="22"/>
                <w:szCs w:val="22"/>
              </w:rPr>
              <w:t xml:space="preserve">Self - funded losses paid were generally within their expected range except for </w:t>
            </w:r>
            <w:r w:rsidR="009B27A2">
              <w:rPr>
                <w:rFonts w:ascii="Calibri" w:hAnsi="Calibri" w:cs="Calibri"/>
                <w:color w:val="000000"/>
                <w:sz w:val="22"/>
                <w:szCs w:val="22"/>
              </w:rPr>
              <w:t>a</w:t>
            </w:r>
            <w:r>
              <w:rPr>
                <w:rFonts w:ascii="Calibri" w:hAnsi="Calibri" w:cs="Calibri"/>
                <w:color w:val="000000"/>
                <w:sz w:val="22"/>
                <w:szCs w:val="22"/>
              </w:rPr>
              <w:t xml:space="preserve">thletic </w:t>
            </w:r>
            <w:r w:rsidR="009B27A2">
              <w:rPr>
                <w:rFonts w:ascii="Calibri" w:hAnsi="Calibri" w:cs="Calibri"/>
                <w:color w:val="000000"/>
                <w:sz w:val="22"/>
                <w:szCs w:val="22"/>
              </w:rPr>
              <w:t>a</w:t>
            </w:r>
            <w:r>
              <w:rPr>
                <w:rFonts w:ascii="Calibri" w:hAnsi="Calibri" w:cs="Calibri"/>
                <w:color w:val="000000"/>
                <w:sz w:val="22"/>
                <w:szCs w:val="22"/>
              </w:rPr>
              <w:t xml:space="preserve">ccident </w:t>
            </w:r>
            <w:r w:rsidR="009B27A2">
              <w:rPr>
                <w:rFonts w:ascii="Calibri" w:hAnsi="Calibri" w:cs="Calibri"/>
                <w:color w:val="000000"/>
                <w:sz w:val="22"/>
                <w:szCs w:val="22"/>
              </w:rPr>
              <w:t>c</w:t>
            </w:r>
            <w:r>
              <w:rPr>
                <w:rFonts w:ascii="Calibri" w:hAnsi="Calibri" w:cs="Calibri"/>
                <w:color w:val="000000"/>
                <w:sz w:val="22"/>
                <w:szCs w:val="22"/>
              </w:rPr>
              <w:t>laims which increased from $73,742 to $195,018 over the period.</w:t>
            </w:r>
          </w:p>
          <w:p w:rsidR="002410D9" w:rsidRDefault="002410D9" w:rsidP="002410D9">
            <w:pPr>
              <w:rPr>
                <w:rFonts w:ascii="Calibri" w:hAnsi="Calibri" w:cs="Calibri"/>
                <w:color w:val="000000"/>
                <w:sz w:val="22"/>
                <w:szCs w:val="22"/>
              </w:rPr>
            </w:pPr>
          </w:p>
          <w:p w:rsidR="007879DC" w:rsidRPr="007879DC" w:rsidRDefault="002410D9" w:rsidP="007879DC">
            <w:pPr>
              <w:rPr>
                <w:rFonts w:ascii="Calibri" w:hAnsi="Calibri" w:cs="Calibri"/>
                <w:color w:val="000000"/>
                <w:sz w:val="22"/>
                <w:szCs w:val="22"/>
              </w:rPr>
            </w:pPr>
            <w:r>
              <w:rPr>
                <w:rFonts w:ascii="Calibri" w:hAnsi="Calibri" w:cs="Calibri"/>
                <w:color w:val="000000"/>
                <w:sz w:val="22"/>
                <w:szCs w:val="22"/>
              </w:rPr>
              <w:t>Other Risk Management Expenses increased within expected limits except for expenses related to funding for several large loss control projects including the installation of a backup power generator for the services building, fire protection system upgrades, and the campus security project for our residence halls.</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Default="007A6A21" w:rsidP="00972106">
            <w:pPr>
              <w:spacing w:before="60" w:after="120"/>
              <w:rPr>
                <w:rFonts w:ascii="Arial Narrow" w:hAnsi="Arial Narrow" w:cs="Arial"/>
                <w:b/>
                <w:sz w:val="22"/>
                <w:szCs w:val="22"/>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p w:rsidR="002410D9" w:rsidRDefault="009B27A2" w:rsidP="00972106">
            <w:pPr>
              <w:spacing w:before="60" w:after="120"/>
              <w:rPr>
                <w:rFonts w:ascii="Arial Narrow" w:hAnsi="Arial Narrow" w:cs="Arial"/>
                <w:sz w:val="22"/>
                <w:szCs w:val="22"/>
              </w:rPr>
            </w:pPr>
            <w:r w:rsidRPr="009B27A2">
              <w:rPr>
                <w:rFonts w:ascii="Arial Narrow" w:hAnsi="Arial Narrow" w:cs="Arial"/>
                <w:sz w:val="22"/>
                <w:szCs w:val="22"/>
              </w:rPr>
              <w:t xml:space="preserve">The </w:t>
            </w:r>
            <w:r>
              <w:rPr>
                <w:rFonts w:ascii="Arial Narrow" w:hAnsi="Arial Narrow" w:cs="Arial"/>
                <w:sz w:val="22"/>
                <w:szCs w:val="22"/>
              </w:rPr>
              <w:t>only</w:t>
            </w:r>
            <w:r w:rsidRPr="009B27A2">
              <w:rPr>
                <w:rFonts w:ascii="Arial Narrow" w:hAnsi="Arial Narrow" w:cs="Arial"/>
                <w:sz w:val="22"/>
                <w:szCs w:val="22"/>
              </w:rPr>
              <w:t xml:space="preserve"> </w:t>
            </w:r>
            <w:r>
              <w:rPr>
                <w:rFonts w:ascii="Arial Narrow" w:hAnsi="Arial Narrow" w:cs="Arial"/>
                <w:sz w:val="22"/>
                <w:szCs w:val="22"/>
              </w:rPr>
              <w:t xml:space="preserve">trend identified as a concern </w:t>
            </w:r>
            <w:r w:rsidR="004111E1">
              <w:rPr>
                <w:rFonts w:ascii="Arial Narrow" w:hAnsi="Arial Narrow" w:cs="Arial"/>
                <w:sz w:val="22"/>
                <w:szCs w:val="22"/>
              </w:rPr>
              <w:t xml:space="preserve">is </w:t>
            </w:r>
            <w:r>
              <w:rPr>
                <w:rFonts w:ascii="Arial Narrow" w:hAnsi="Arial Narrow" w:cs="Arial"/>
                <w:sz w:val="22"/>
                <w:szCs w:val="22"/>
              </w:rPr>
              <w:t>th</w:t>
            </w:r>
            <w:r w:rsidR="007879DC">
              <w:rPr>
                <w:rFonts w:ascii="Arial Narrow" w:hAnsi="Arial Narrow" w:cs="Arial"/>
                <w:sz w:val="22"/>
                <w:szCs w:val="22"/>
              </w:rPr>
              <w:t xml:space="preserve">e trend </w:t>
            </w:r>
            <w:r>
              <w:rPr>
                <w:rFonts w:ascii="Arial Narrow" w:hAnsi="Arial Narrow" w:cs="Arial"/>
                <w:sz w:val="22"/>
                <w:szCs w:val="22"/>
              </w:rPr>
              <w:t xml:space="preserve">related to athletic accident claims.  </w:t>
            </w:r>
          </w:p>
          <w:p w:rsidR="002410D9" w:rsidRPr="009B27A2" w:rsidRDefault="009B27A2" w:rsidP="00972106">
            <w:pPr>
              <w:spacing w:before="60" w:after="120"/>
              <w:rPr>
                <w:rFonts w:ascii="Arial Narrow" w:hAnsi="Arial Narrow" w:cs="Arial"/>
                <w:sz w:val="22"/>
                <w:szCs w:val="22"/>
              </w:rPr>
            </w:pPr>
            <w:r w:rsidRPr="009B27A2">
              <w:rPr>
                <w:rFonts w:ascii="Arial Narrow" w:hAnsi="Arial Narrow" w:cs="Arial"/>
                <w:sz w:val="22"/>
                <w:szCs w:val="22"/>
              </w:rPr>
              <w:t>The claims for that period</w:t>
            </w:r>
            <w:r>
              <w:rPr>
                <w:rFonts w:ascii="Arial Narrow" w:hAnsi="Arial Narrow" w:cs="Arial"/>
                <w:sz w:val="22"/>
                <w:szCs w:val="22"/>
              </w:rPr>
              <w:t xml:space="preserve"> have been analyzed in detail and the results have been shared with the athletic training department.  I will continue to work with this department to identify ways to reduce these costs.</w:t>
            </w:r>
          </w:p>
          <w:p w:rsidR="002410D9" w:rsidRDefault="00A77AD3" w:rsidP="00972106">
            <w:pPr>
              <w:spacing w:before="60" w:after="120"/>
              <w:rPr>
                <w:rFonts w:ascii="Arial Narrow" w:hAnsi="Arial Narrow" w:cs="Arial"/>
                <w:sz w:val="22"/>
                <w:szCs w:val="22"/>
              </w:rPr>
            </w:pPr>
            <w:r>
              <w:rPr>
                <w:rFonts w:ascii="Arial Narrow" w:hAnsi="Arial Narrow" w:cs="Arial"/>
                <w:sz w:val="22"/>
                <w:szCs w:val="22"/>
              </w:rPr>
              <w:t xml:space="preserve">To date, data collected compares the University’s cost of risk year over year with internal data only.  Going forward, data will be collected from external sources comparing the University with industry averages and trends. </w:t>
            </w:r>
          </w:p>
          <w:p w:rsidR="00EF56BA" w:rsidRDefault="00EF56BA" w:rsidP="00972106">
            <w:pPr>
              <w:spacing w:before="60" w:after="120"/>
              <w:rPr>
                <w:rFonts w:ascii="Arial Narrow" w:hAnsi="Arial Narrow" w:cs="Arial"/>
                <w:sz w:val="22"/>
                <w:szCs w:val="22"/>
              </w:rPr>
            </w:pPr>
          </w:p>
          <w:p w:rsidR="00EF56BA" w:rsidRDefault="00EF56BA" w:rsidP="00972106">
            <w:pPr>
              <w:spacing w:before="60" w:after="120"/>
              <w:rPr>
                <w:rFonts w:ascii="Arial Narrow" w:hAnsi="Arial Narrow" w:cs="Arial"/>
                <w:sz w:val="22"/>
                <w:szCs w:val="22"/>
              </w:rPr>
            </w:pPr>
          </w:p>
          <w:p w:rsidR="007879DC" w:rsidRDefault="007879DC" w:rsidP="00972106">
            <w:pPr>
              <w:spacing w:before="60" w:after="120"/>
              <w:rPr>
                <w:rFonts w:ascii="Arial Narrow" w:hAnsi="Arial Narrow" w:cs="Arial"/>
                <w:sz w:val="22"/>
                <w:szCs w:val="22"/>
              </w:rPr>
            </w:pPr>
          </w:p>
          <w:p w:rsidR="007879DC" w:rsidRPr="009B27A2" w:rsidRDefault="007879DC" w:rsidP="00972106">
            <w:pPr>
              <w:spacing w:before="60" w:after="120"/>
              <w:rPr>
                <w:rFonts w:ascii="Arial Narrow" w:hAnsi="Arial Narrow" w:cs="Arial"/>
                <w:sz w:val="22"/>
                <w:szCs w:val="22"/>
              </w:rPr>
            </w:pPr>
          </w:p>
          <w:p w:rsidR="002410D9" w:rsidRPr="009B27A2" w:rsidRDefault="002410D9" w:rsidP="00972106">
            <w:pPr>
              <w:spacing w:before="60" w:after="120"/>
              <w:rPr>
                <w:rFonts w:ascii="Arial Narrow" w:hAnsi="Arial Narrow" w:cs="Arial"/>
                <w:sz w:val="22"/>
                <w:szCs w:val="22"/>
              </w:rPr>
            </w:pPr>
          </w:p>
          <w:p w:rsidR="002410D9" w:rsidRPr="009860CD" w:rsidRDefault="002410D9" w:rsidP="00972106">
            <w:pPr>
              <w:spacing w:before="60" w:after="120"/>
              <w:rPr>
                <w:rFonts w:ascii="Arial Narrow" w:hAnsi="Arial Narrow" w:cs="Arial"/>
                <w:b/>
              </w:rPr>
            </w:pP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7879DC">
            <w:pPr>
              <w:spacing w:before="120" w:after="120"/>
              <w:rPr>
                <w:rFonts w:ascii="Arial Narrow" w:hAnsi="Arial Narrow" w:cs="Arial"/>
                <w:b/>
              </w:rPr>
            </w:pPr>
            <w:r w:rsidRPr="009860CD">
              <w:rPr>
                <w:rFonts w:ascii="Arial Narrow" w:hAnsi="Arial Narrow" w:cs="Arial"/>
                <w:b/>
                <w:sz w:val="22"/>
                <w:szCs w:val="22"/>
              </w:rPr>
              <w:t xml:space="preserve">Administrative Objective #2 </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E36FC2" w:rsidRDefault="00102659" w:rsidP="0036346B">
            <w:pPr>
              <w:rPr>
                <w:rFonts w:ascii="Arial Narrow" w:hAnsi="Arial Narrow"/>
              </w:rPr>
            </w:pPr>
            <w:r>
              <w:rPr>
                <w:rFonts w:ascii="Arial Narrow" w:hAnsi="Arial Narrow"/>
              </w:rPr>
              <w:lastRenderedPageBreak/>
              <w:t>F</w:t>
            </w:r>
            <w:r w:rsidR="00F637DE">
              <w:rPr>
                <w:rFonts w:ascii="Arial Narrow" w:hAnsi="Arial Narrow"/>
              </w:rPr>
              <w:t xml:space="preserve">acilitate the reporting and recording of asset disposals and transfers in the Fixed Asset Accounting System and provide a simple and consistent way or requesting assistance from Central Receiving to remove equipment and other property that is no longer needed by a department. </w:t>
            </w:r>
          </w:p>
          <w:p w:rsidR="00CE34F1" w:rsidRPr="009860CD" w:rsidRDefault="00CE34F1"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00E36FC2">
              <w:rPr>
                <w:rFonts w:ascii="Arial Narrow" w:hAnsi="Arial Narrow"/>
                <w:sz w:val="22"/>
                <w:szCs w:val="22"/>
                <w:u w:val="single"/>
              </w:rPr>
              <w:t>X</w:t>
            </w:r>
            <w:r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B17ADF" w:rsidRDefault="00B17ADF" w:rsidP="0036346B">
            <w:pPr>
              <w:pStyle w:val="Default"/>
              <w:rPr>
                <w:rFonts w:ascii="Arial Narrow" w:hAnsi="Arial Narrow" w:cs="Arial"/>
                <w:sz w:val="22"/>
                <w:szCs w:val="22"/>
              </w:rPr>
            </w:pPr>
          </w:p>
          <w:p w:rsidR="009855EA" w:rsidRDefault="00DD22D3" w:rsidP="0036346B">
            <w:pPr>
              <w:pStyle w:val="Default"/>
              <w:rPr>
                <w:rFonts w:ascii="Arial Narrow" w:hAnsi="Arial Narrow"/>
              </w:rPr>
            </w:pPr>
            <w:r>
              <w:rPr>
                <w:rFonts w:ascii="Arial Narrow" w:hAnsi="Arial Narrow"/>
              </w:rPr>
              <w:t>Collaborate with Purchasing and Central Receiving departments on the development of an online system for requesting and reporting disposal and transfer of University property using the Printing Services on line work order system.</w:t>
            </w:r>
          </w:p>
          <w:p w:rsidR="00DD22D3" w:rsidRPr="009860CD" w:rsidRDefault="00DD22D3" w:rsidP="0036346B">
            <w:pPr>
              <w:pStyle w:val="Default"/>
              <w:rPr>
                <w:rFonts w:ascii="Arial Narrow" w:hAnsi="Arial Narrow" w:cs="Arial"/>
                <w:sz w:val="22"/>
                <w:szCs w:val="22"/>
              </w:rPr>
            </w:pPr>
          </w:p>
          <w:p w:rsidR="00E36FC2" w:rsidRDefault="00DD22D3" w:rsidP="0062447B">
            <w:pPr>
              <w:pStyle w:val="Default"/>
              <w:rPr>
                <w:rFonts w:ascii="Arial Narrow" w:hAnsi="Arial Narrow"/>
                <w:sz w:val="22"/>
                <w:szCs w:val="22"/>
              </w:rPr>
            </w:pPr>
            <w:r>
              <w:rPr>
                <w:rFonts w:ascii="Arial Narrow" w:hAnsi="Arial Narrow"/>
                <w:sz w:val="22"/>
                <w:szCs w:val="22"/>
              </w:rPr>
              <w:t>2</w:t>
            </w:r>
            <w:r w:rsidR="006068E2">
              <w:rPr>
                <w:rFonts w:ascii="Arial Narrow" w:hAnsi="Arial Narrow"/>
                <w:sz w:val="22"/>
                <w:szCs w:val="22"/>
              </w:rPr>
              <w:t xml:space="preserve">a. </w:t>
            </w:r>
            <w:r w:rsidR="0062447B">
              <w:rPr>
                <w:rFonts w:ascii="Arial Narrow" w:hAnsi="Arial Narrow"/>
                <w:sz w:val="22"/>
                <w:szCs w:val="22"/>
              </w:rPr>
              <w:t xml:space="preserve">Review and establish the information to be collected in the system and the flow of that information to Central Receiving and Risk Management, by 9/15/11. </w:t>
            </w:r>
          </w:p>
          <w:p w:rsidR="0062447B" w:rsidRPr="0062447B" w:rsidRDefault="0062447B" w:rsidP="0062447B">
            <w:pPr>
              <w:pStyle w:val="Default"/>
              <w:rPr>
                <w:rFonts w:ascii="Arial Narrow" w:hAnsi="Arial Narrow"/>
                <w:b/>
                <w:sz w:val="22"/>
                <w:szCs w:val="22"/>
              </w:rPr>
            </w:pPr>
          </w:p>
          <w:p w:rsidR="0062447B" w:rsidRDefault="0062447B" w:rsidP="0062447B">
            <w:pPr>
              <w:pStyle w:val="Default"/>
              <w:rPr>
                <w:rFonts w:ascii="Arial Narrow" w:hAnsi="Arial Narrow"/>
                <w:sz w:val="22"/>
                <w:szCs w:val="22"/>
              </w:rPr>
            </w:pPr>
            <w:r>
              <w:rPr>
                <w:rFonts w:ascii="Arial Narrow" w:hAnsi="Arial Narrow"/>
                <w:sz w:val="22"/>
                <w:szCs w:val="22"/>
              </w:rPr>
              <w:t>2b. Create a draft of the required web pages in the Printing Services Work Order System, by 10/1/11.</w:t>
            </w:r>
          </w:p>
          <w:p w:rsidR="0062447B" w:rsidRDefault="0062447B" w:rsidP="0062447B">
            <w:pPr>
              <w:pStyle w:val="Default"/>
              <w:rPr>
                <w:rFonts w:ascii="Arial Narrow" w:hAnsi="Arial Narrow"/>
                <w:sz w:val="22"/>
                <w:szCs w:val="22"/>
              </w:rPr>
            </w:pPr>
          </w:p>
          <w:p w:rsidR="0062447B" w:rsidRPr="009860CD" w:rsidRDefault="0062447B" w:rsidP="0062447B">
            <w:pPr>
              <w:pStyle w:val="Default"/>
              <w:rPr>
                <w:rFonts w:ascii="Arial Narrow" w:hAnsi="Arial Narrow"/>
                <w:sz w:val="22"/>
                <w:szCs w:val="22"/>
              </w:rPr>
            </w:pPr>
            <w:r>
              <w:rPr>
                <w:rFonts w:ascii="Arial Narrow" w:hAnsi="Arial Narrow"/>
                <w:sz w:val="22"/>
                <w:szCs w:val="22"/>
              </w:rPr>
              <w:t xml:space="preserve">2c. </w:t>
            </w:r>
            <w:r w:rsidR="003900DB">
              <w:rPr>
                <w:rFonts w:ascii="Arial Narrow" w:hAnsi="Arial Narrow"/>
                <w:sz w:val="22"/>
                <w:szCs w:val="22"/>
              </w:rPr>
              <w:t>Implement the system by 11/1/11.</w:t>
            </w:r>
          </w:p>
        </w:tc>
      </w:tr>
      <w:tr w:rsidR="007C53D1" w:rsidRPr="009860CD" w:rsidTr="00254735">
        <w:tc>
          <w:tcPr>
            <w:tcW w:w="5364" w:type="dxa"/>
            <w:tcBorders>
              <w:top w:val="nil"/>
              <w:left w:val="nil"/>
              <w:bottom w:val="nil"/>
              <w:right w:val="nil"/>
            </w:tcBorders>
            <w:vAlign w:val="center"/>
          </w:tcPr>
          <w:p w:rsidR="007C53D1" w:rsidRPr="009860CD" w:rsidRDefault="007C53D1" w:rsidP="00BB5E10">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BB5E10">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BB5E10">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879DC" w:rsidRDefault="00F637C7" w:rsidP="0036346B">
            <w:pPr>
              <w:rPr>
                <w:rFonts w:ascii="Arial Narrow" w:hAnsi="Arial Narrow"/>
                <w:sz w:val="22"/>
                <w:szCs w:val="22"/>
              </w:rPr>
            </w:pPr>
            <w:r>
              <w:rPr>
                <w:rFonts w:ascii="Arial Narrow" w:hAnsi="Arial Narrow"/>
                <w:sz w:val="22"/>
                <w:szCs w:val="22"/>
              </w:rPr>
              <w:t>The on line system for requesting and reporting disposal and transfer of University has been completed and implemented.</w:t>
            </w:r>
          </w:p>
          <w:p w:rsidR="004340C3" w:rsidRDefault="004340C3" w:rsidP="0036346B">
            <w:pPr>
              <w:rPr>
                <w:rFonts w:ascii="Arial Narrow" w:hAnsi="Arial Narrow"/>
                <w:sz w:val="22"/>
                <w:szCs w:val="22"/>
              </w:rPr>
            </w:pPr>
          </w:p>
          <w:p w:rsidR="004340C3" w:rsidRDefault="004340C3" w:rsidP="0036346B">
            <w:pPr>
              <w:rPr>
                <w:rFonts w:ascii="Arial Narrow" w:hAnsi="Arial Narrow"/>
                <w:sz w:val="22"/>
                <w:szCs w:val="22"/>
              </w:rPr>
            </w:pPr>
            <w:r>
              <w:rPr>
                <w:rFonts w:ascii="Arial Narrow" w:hAnsi="Arial Narrow"/>
                <w:sz w:val="22"/>
                <w:szCs w:val="22"/>
              </w:rPr>
              <w:t>This system is being used consistently for those property transfers and disposals that require Printing Services for transport of the property</w:t>
            </w:r>
            <w:r w:rsidR="00D75E44">
              <w:rPr>
                <w:rFonts w:ascii="Arial Narrow" w:hAnsi="Arial Narrow"/>
                <w:sz w:val="22"/>
                <w:szCs w:val="22"/>
              </w:rPr>
              <w:t xml:space="preserve"> and equipment that will be sold in the On-Line Auction.</w:t>
            </w:r>
          </w:p>
          <w:p w:rsidR="00DA1D00" w:rsidRDefault="00DA1D00" w:rsidP="0036346B">
            <w:pPr>
              <w:rPr>
                <w:rFonts w:ascii="Arial Narrow" w:hAnsi="Arial Narrow"/>
                <w:sz w:val="22"/>
                <w:szCs w:val="22"/>
              </w:rPr>
            </w:pPr>
          </w:p>
          <w:p w:rsidR="00DA1D00" w:rsidRDefault="00DA1D00" w:rsidP="0036346B">
            <w:pPr>
              <w:rPr>
                <w:rFonts w:ascii="Arial Narrow" w:hAnsi="Arial Narrow"/>
                <w:sz w:val="22"/>
                <w:szCs w:val="22"/>
              </w:rPr>
            </w:pPr>
            <w:r>
              <w:rPr>
                <w:rFonts w:ascii="Arial Narrow" w:hAnsi="Arial Narrow"/>
                <w:sz w:val="22"/>
                <w:szCs w:val="22"/>
              </w:rPr>
              <w:t>The system was designed to enable departments to report property transfers and disposals even if they d</w:t>
            </w:r>
            <w:r w:rsidR="000F4EA1">
              <w:rPr>
                <w:rFonts w:ascii="Arial Narrow" w:hAnsi="Arial Narrow"/>
                <w:sz w:val="22"/>
                <w:szCs w:val="22"/>
              </w:rPr>
              <w:t>o</w:t>
            </w:r>
            <w:r>
              <w:rPr>
                <w:rFonts w:ascii="Arial Narrow" w:hAnsi="Arial Narrow"/>
                <w:sz w:val="22"/>
                <w:szCs w:val="22"/>
              </w:rPr>
              <w:t xml:space="preserve"> not require </w:t>
            </w:r>
            <w:r>
              <w:rPr>
                <w:rFonts w:ascii="Arial Narrow" w:hAnsi="Arial Narrow"/>
                <w:sz w:val="22"/>
                <w:szCs w:val="22"/>
              </w:rPr>
              <w:lastRenderedPageBreak/>
              <w:t xml:space="preserve">Printing Services to transport the property.  </w:t>
            </w:r>
            <w:r w:rsidR="000F4EA1">
              <w:rPr>
                <w:rFonts w:ascii="Arial Narrow" w:hAnsi="Arial Narrow"/>
                <w:sz w:val="22"/>
                <w:szCs w:val="22"/>
              </w:rPr>
              <w:t>It is not being used consistently for this purpose.</w:t>
            </w:r>
          </w:p>
          <w:p w:rsidR="007879DC" w:rsidRPr="009860CD" w:rsidRDefault="007879DC" w:rsidP="0036346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563BAE" w:rsidP="00563BAE">
            <w:pPr>
              <w:rPr>
                <w:rFonts w:ascii="Arial Narrow" w:hAnsi="Arial Narrow"/>
                <w:sz w:val="22"/>
                <w:szCs w:val="22"/>
              </w:rPr>
            </w:pPr>
            <w:r>
              <w:rPr>
                <w:rFonts w:ascii="Arial Narrow" w:hAnsi="Arial Narrow"/>
                <w:sz w:val="22"/>
                <w:szCs w:val="22"/>
              </w:rPr>
              <w:t xml:space="preserve">Some </w:t>
            </w:r>
            <w:r w:rsidR="00D75E44">
              <w:rPr>
                <w:rFonts w:ascii="Arial Narrow" w:hAnsi="Arial Narrow"/>
                <w:sz w:val="22"/>
                <w:szCs w:val="22"/>
              </w:rPr>
              <w:t>equipment</w:t>
            </w:r>
            <w:r>
              <w:rPr>
                <w:rFonts w:ascii="Arial Narrow" w:hAnsi="Arial Narrow"/>
                <w:sz w:val="22"/>
                <w:szCs w:val="22"/>
              </w:rPr>
              <w:t xml:space="preserve"> transfers and </w:t>
            </w:r>
            <w:r w:rsidR="00D75E44">
              <w:rPr>
                <w:rFonts w:ascii="Arial Narrow" w:hAnsi="Arial Narrow"/>
                <w:sz w:val="22"/>
                <w:szCs w:val="22"/>
              </w:rPr>
              <w:t>e</w:t>
            </w:r>
            <w:r>
              <w:rPr>
                <w:rFonts w:ascii="Arial Narrow" w:hAnsi="Arial Narrow"/>
                <w:sz w:val="22"/>
                <w:szCs w:val="22"/>
              </w:rPr>
              <w:t xml:space="preserve">quipment that is taken out of service and scrapped by departments is not being reported consistently. </w:t>
            </w:r>
          </w:p>
          <w:p w:rsidR="00D03830" w:rsidRDefault="00D03830" w:rsidP="00563BAE">
            <w:pPr>
              <w:rPr>
                <w:rFonts w:ascii="Arial Narrow" w:hAnsi="Arial Narrow"/>
                <w:sz w:val="22"/>
                <w:szCs w:val="22"/>
              </w:rPr>
            </w:pPr>
          </w:p>
          <w:p w:rsidR="00D03830" w:rsidRDefault="005561B1" w:rsidP="00563BAE">
            <w:pPr>
              <w:rPr>
                <w:rFonts w:ascii="Arial Narrow" w:hAnsi="Arial Narrow"/>
                <w:sz w:val="22"/>
                <w:szCs w:val="22"/>
              </w:rPr>
            </w:pPr>
            <w:r>
              <w:rPr>
                <w:rFonts w:ascii="Arial Narrow" w:hAnsi="Arial Narrow"/>
                <w:sz w:val="22"/>
                <w:szCs w:val="22"/>
              </w:rPr>
              <w:t>This objective will</w:t>
            </w:r>
            <w:r w:rsidR="00D75E44">
              <w:rPr>
                <w:rFonts w:ascii="Arial Narrow" w:hAnsi="Arial Narrow"/>
                <w:sz w:val="22"/>
                <w:szCs w:val="22"/>
              </w:rPr>
              <w:t xml:space="preserve"> not</w:t>
            </w:r>
            <w:r>
              <w:rPr>
                <w:rFonts w:ascii="Arial Narrow" w:hAnsi="Arial Narrow"/>
                <w:sz w:val="22"/>
                <w:szCs w:val="22"/>
              </w:rPr>
              <w:t xml:space="preserve"> carry over to next year </w:t>
            </w:r>
            <w:r w:rsidR="00D75E44">
              <w:rPr>
                <w:rFonts w:ascii="Arial Narrow" w:hAnsi="Arial Narrow"/>
                <w:sz w:val="22"/>
                <w:szCs w:val="22"/>
              </w:rPr>
              <w:t xml:space="preserve">but this department will explore </w:t>
            </w:r>
            <w:r>
              <w:rPr>
                <w:rFonts w:ascii="Arial Narrow" w:hAnsi="Arial Narrow"/>
                <w:sz w:val="22"/>
                <w:szCs w:val="22"/>
              </w:rPr>
              <w:t>ways to capture these unreported equipment transactions</w:t>
            </w:r>
            <w:r w:rsidR="00D75E44">
              <w:rPr>
                <w:rFonts w:ascii="Arial Narrow" w:hAnsi="Arial Narrow"/>
                <w:sz w:val="22"/>
                <w:szCs w:val="22"/>
              </w:rPr>
              <w:t xml:space="preserve"> going forward.</w:t>
            </w:r>
          </w:p>
          <w:p w:rsidR="00563BAE" w:rsidRDefault="00563BAE" w:rsidP="00563BAE">
            <w:pPr>
              <w:rPr>
                <w:rFonts w:ascii="Arial Narrow" w:hAnsi="Arial Narrow"/>
                <w:sz w:val="22"/>
                <w:szCs w:val="22"/>
              </w:rPr>
            </w:pPr>
          </w:p>
          <w:p w:rsidR="00563BAE" w:rsidRPr="009860CD" w:rsidRDefault="00563BAE" w:rsidP="00563BAE">
            <w:pPr>
              <w:rPr>
                <w:rFonts w:ascii="Arial Narrow" w:hAnsi="Arial Narrow"/>
              </w:rPr>
            </w:pPr>
            <w:bookmarkStart w:id="0" w:name="_GoBack"/>
            <w:bookmarkEnd w:id="0"/>
          </w:p>
        </w:tc>
      </w:tr>
      <w:tr w:rsidR="007C53D1" w:rsidRPr="009860CD" w:rsidTr="00E06BC8">
        <w:trPr>
          <w:trHeight w:val="773"/>
        </w:trPr>
        <w:tc>
          <w:tcPr>
            <w:tcW w:w="5364" w:type="dxa"/>
            <w:tcBorders>
              <w:top w:val="nil"/>
              <w:left w:val="nil"/>
              <w:bottom w:val="nil"/>
              <w:right w:val="nil"/>
            </w:tcBorders>
            <w:vAlign w:val="center"/>
          </w:tcPr>
          <w:p w:rsidR="00E06BC8" w:rsidRDefault="007C53D1" w:rsidP="00E06BC8">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p>
          <w:p w:rsidR="007C53D1" w:rsidRPr="00E06BC8" w:rsidRDefault="007C53D1" w:rsidP="007C7F89">
            <w:pPr>
              <w:spacing w:before="60" w:after="120"/>
              <w:rPr>
                <w:rFonts w:ascii="Arial Narrow" w:hAnsi="Arial Narrow" w:cs="Arial"/>
              </w:rPr>
            </w:pP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tcPr>
          <w:p w:rsidR="007C53D1" w:rsidRDefault="007C53D1" w:rsidP="00E06BC8">
            <w:pPr>
              <w:spacing w:before="60" w:after="120"/>
              <w:rPr>
                <w:rFonts w:ascii="Arial Narrow" w:hAnsi="Arial Narrow" w:cs="Arial"/>
                <w:b/>
              </w:rPr>
            </w:pPr>
            <w:r w:rsidRPr="009860CD">
              <w:rPr>
                <w:rFonts w:ascii="Arial Narrow" w:hAnsi="Arial Narrow" w:cs="Arial"/>
                <w:b/>
                <w:sz w:val="22"/>
                <w:szCs w:val="22"/>
              </w:rPr>
              <w:t>Means/Evidence of Assessment for Objective</w:t>
            </w:r>
          </w:p>
          <w:p w:rsidR="00E06BC8" w:rsidRPr="009860CD" w:rsidRDefault="00E06BC8" w:rsidP="00E06BC8">
            <w:pPr>
              <w:spacing w:before="60" w:after="120"/>
              <w:rPr>
                <w:rFonts w:ascii="Arial Narrow" w:hAnsi="Arial Narrow" w:cs="Arial"/>
                <w:b/>
              </w:rPr>
            </w:pP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E06BC8" w:rsidP="00972106">
            <w:pPr>
              <w:rPr>
                <w:rFonts w:ascii="Arial Narrow" w:hAnsi="Arial Narrow"/>
              </w:rPr>
            </w:pPr>
            <w:r w:rsidRPr="009860CD">
              <w:rPr>
                <w:rFonts w:ascii="Arial Narrow" w:hAnsi="Arial Narrow"/>
                <w:sz w:val="22"/>
                <w:szCs w:val="22"/>
                <w:u w:val="single"/>
              </w:rPr>
              <w:sym w:font="Symbol" w:char="F092"/>
            </w:r>
            <w:r w:rsidR="00DA7BC5">
              <w:rPr>
                <w:rFonts w:ascii="Arial Narrow" w:hAnsi="Arial Narrow"/>
                <w:sz w:val="22"/>
                <w:szCs w:val="22"/>
                <w:u w:val="single"/>
              </w:rPr>
              <w:t xml:space="preserve"> </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DA7BC5" w:rsidRPr="009860CD" w:rsidRDefault="00DA7BC5" w:rsidP="00972106">
            <w:pPr>
              <w:pStyle w:val="Default"/>
              <w:rPr>
                <w:rFonts w:ascii="Arial Narrow" w:hAnsi="Arial Narrow" w:cs="Arial"/>
                <w:sz w:val="22"/>
                <w:szCs w:val="22"/>
              </w:rPr>
            </w:pPr>
          </w:p>
          <w:p w:rsidR="00DA7BC5" w:rsidRPr="009860CD" w:rsidRDefault="00DA7BC5" w:rsidP="006B4052">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sz w:val="22"/>
                <w:szCs w:val="22"/>
              </w:rPr>
              <w:t>(Fill in only for the REPORT at the end of the year.)</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E4B07">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4E4B07">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E4B07">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E4B07">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E4B07">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E4B07">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Put into action a commitment to be an inclusive community where differences are recognized as assets of the institution, </w:t>
            </w:r>
            <w:r w:rsidRPr="0036346B">
              <w:rPr>
                <w:rFonts w:ascii="Arial Narrow" w:hAnsi="Arial Narrow"/>
                <w:sz w:val="20"/>
                <w:szCs w:val="20"/>
              </w:rPr>
              <w:lastRenderedPageBreak/>
              <w:t>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E3" w:rsidRDefault="00030CE3" w:rsidP="00CC0C16">
      <w:r>
        <w:separator/>
      </w:r>
    </w:p>
  </w:endnote>
  <w:endnote w:type="continuationSeparator" w:id="0">
    <w:p w:rsidR="00030CE3" w:rsidRDefault="00030CE3"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B7" w:rsidRPr="00216099" w:rsidRDefault="00DA6FB7"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483ED0"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483ED0" w:rsidRPr="004304D6">
          <w:rPr>
            <w:rFonts w:asciiTheme="minorHAnsi" w:hAnsiTheme="minorHAnsi" w:cstheme="minorHAnsi"/>
            <w:sz w:val="18"/>
          </w:rPr>
          <w:fldChar w:fldCharType="separate"/>
        </w:r>
        <w:r w:rsidR="00434412">
          <w:rPr>
            <w:rFonts w:asciiTheme="minorHAnsi" w:hAnsiTheme="minorHAnsi" w:cstheme="minorHAnsi"/>
            <w:noProof/>
            <w:sz w:val="18"/>
          </w:rPr>
          <w:t>3</w:t>
        </w:r>
        <w:r w:rsidR="00483ED0"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E3" w:rsidRDefault="00030CE3" w:rsidP="00CC0C16">
      <w:r>
        <w:separator/>
      </w:r>
    </w:p>
  </w:footnote>
  <w:footnote w:type="continuationSeparator" w:id="0">
    <w:p w:rsidR="00030CE3" w:rsidRDefault="00030CE3" w:rsidP="00CC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40EB"/>
    <w:rsid w:val="0002583F"/>
    <w:rsid w:val="00025A0E"/>
    <w:rsid w:val="00026C89"/>
    <w:rsid w:val="00030CE3"/>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4EA1"/>
    <w:rsid w:val="000F7E47"/>
    <w:rsid w:val="000F7F86"/>
    <w:rsid w:val="00101B17"/>
    <w:rsid w:val="00102659"/>
    <w:rsid w:val="0010312E"/>
    <w:rsid w:val="00103808"/>
    <w:rsid w:val="001117E7"/>
    <w:rsid w:val="00111CD1"/>
    <w:rsid w:val="00111FBE"/>
    <w:rsid w:val="00114314"/>
    <w:rsid w:val="00120E26"/>
    <w:rsid w:val="001223F5"/>
    <w:rsid w:val="00122E20"/>
    <w:rsid w:val="001269A6"/>
    <w:rsid w:val="00127D44"/>
    <w:rsid w:val="001306EF"/>
    <w:rsid w:val="0013386D"/>
    <w:rsid w:val="0013440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7721E"/>
    <w:rsid w:val="00180BDD"/>
    <w:rsid w:val="001813C9"/>
    <w:rsid w:val="001823C9"/>
    <w:rsid w:val="00183A5A"/>
    <w:rsid w:val="00185B5C"/>
    <w:rsid w:val="00187CC5"/>
    <w:rsid w:val="00191BD5"/>
    <w:rsid w:val="001924E0"/>
    <w:rsid w:val="00196515"/>
    <w:rsid w:val="001A47EF"/>
    <w:rsid w:val="001A4B52"/>
    <w:rsid w:val="001A602F"/>
    <w:rsid w:val="001A6BFB"/>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818"/>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0D9"/>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346"/>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52454"/>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0DB"/>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5B67"/>
    <w:rsid w:val="003D7A4A"/>
    <w:rsid w:val="003D7AD7"/>
    <w:rsid w:val="003E19D4"/>
    <w:rsid w:val="003E1AD6"/>
    <w:rsid w:val="003E21E5"/>
    <w:rsid w:val="003E26B4"/>
    <w:rsid w:val="003E28CC"/>
    <w:rsid w:val="003E2AF2"/>
    <w:rsid w:val="003E5A80"/>
    <w:rsid w:val="003E5F8B"/>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1E1"/>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40C3"/>
    <w:rsid w:val="00434412"/>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3ED0"/>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4B07"/>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5940"/>
    <w:rsid w:val="005176F0"/>
    <w:rsid w:val="00517AA1"/>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47CA8"/>
    <w:rsid w:val="00551E88"/>
    <w:rsid w:val="00551F97"/>
    <w:rsid w:val="00552CE0"/>
    <w:rsid w:val="0055382F"/>
    <w:rsid w:val="00553B14"/>
    <w:rsid w:val="005561B1"/>
    <w:rsid w:val="00557FAC"/>
    <w:rsid w:val="00560451"/>
    <w:rsid w:val="0056135C"/>
    <w:rsid w:val="00563BAE"/>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97D23"/>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8E2"/>
    <w:rsid w:val="00606A12"/>
    <w:rsid w:val="00606C8E"/>
    <w:rsid w:val="00613A44"/>
    <w:rsid w:val="00613EBA"/>
    <w:rsid w:val="00614A91"/>
    <w:rsid w:val="006233F9"/>
    <w:rsid w:val="0062447B"/>
    <w:rsid w:val="00624D61"/>
    <w:rsid w:val="00624E76"/>
    <w:rsid w:val="0062600E"/>
    <w:rsid w:val="00630B64"/>
    <w:rsid w:val="00633582"/>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6B9"/>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05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40E8"/>
    <w:rsid w:val="006E7299"/>
    <w:rsid w:val="006E733E"/>
    <w:rsid w:val="006E7CBC"/>
    <w:rsid w:val="006F0452"/>
    <w:rsid w:val="006F19BC"/>
    <w:rsid w:val="006F3169"/>
    <w:rsid w:val="006F39E1"/>
    <w:rsid w:val="006F73D0"/>
    <w:rsid w:val="006F7CFC"/>
    <w:rsid w:val="00700601"/>
    <w:rsid w:val="007006F6"/>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879DC"/>
    <w:rsid w:val="00791FB9"/>
    <w:rsid w:val="0079261E"/>
    <w:rsid w:val="007931D0"/>
    <w:rsid w:val="00794E8D"/>
    <w:rsid w:val="00795AF5"/>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C7F89"/>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549"/>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5FC"/>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0092"/>
    <w:rsid w:val="00981107"/>
    <w:rsid w:val="009855EA"/>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357"/>
    <w:rsid w:val="009A6FE5"/>
    <w:rsid w:val="009B071B"/>
    <w:rsid w:val="009B1009"/>
    <w:rsid w:val="009B18C4"/>
    <w:rsid w:val="009B1E17"/>
    <w:rsid w:val="009B27A2"/>
    <w:rsid w:val="009B2F19"/>
    <w:rsid w:val="009B2F5A"/>
    <w:rsid w:val="009B2F75"/>
    <w:rsid w:val="009B31D4"/>
    <w:rsid w:val="009B776B"/>
    <w:rsid w:val="009B7DB0"/>
    <w:rsid w:val="009C0CA6"/>
    <w:rsid w:val="009C50AB"/>
    <w:rsid w:val="009C5FF2"/>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77AD3"/>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37A1"/>
    <w:rsid w:val="00AB4502"/>
    <w:rsid w:val="00AB6E90"/>
    <w:rsid w:val="00AB7747"/>
    <w:rsid w:val="00AC13E6"/>
    <w:rsid w:val="00AC4985"/>
    <w:rsid w:val="00AC4ED5"/>
    <w:rsid w:val="00AD0E1C"/>
    <w:rsid w:val="00AD40FD"/>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17ADF"/>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97301"/>
    <w:rsid w:val="00BA03C0"/>
    <w:rsid w:val="00BA3B35"/>
    <w:rsid w:val="00BA6998"/>
    <w:rsid w:val="00BA6F9E"/>
    <w:rsid w:val="00BB131A"/>
    <w:rsid w:val="00BB29F9"/>
    <w:rsid w:val="00BB32E9"/>
    <w:rsid w:val="00BB52D2"/>
    <w:rsid w:val="00BB5E09"/>
    <w:rsid w:val="00BB5E10"/>
    <w:rsid w:val="00BC341B"/>
    <w:rsid w:val="00BC5EDF"/>
    <w:rsid w:val="00BC7347"/>
    <w:rsid w:val="00BC7DD7"/>
    <w:rsid w:val="00BD205E"/>
    <w:rsid w:val="00BD2BAC"/>
    <w:rsid w:val="00BD40DB"/>
    <w:rsid w:val="00BD5CFD"/>
    <w:rsid w:val="00BD5DD7"/>
    <w:rsid w:val="00BD5EA4"/>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3AF7"/>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1840"/>
    <w:rsid w:val="00CB607B"/>
    <w:rsid w:val="00CC075C"/>
    <w:rsid w:val="00CC0C16"/>
    <w:rsid w:val="00CC0EBE"/>
    <w:rsid w:val="00CC14CF"/>
    <w:rsid w:val="00CC17F1"/>
    <w:rsid w:val="00CC1E3C"/>
    <w:rsid w:val="00CC511E"/>
    <w:rsid w:val="00CD0F76"/>
    <w:rsid w:val="00CD398E"/>
    <w:rsid w:val="00CD678C"/>
    <w:rsid w:val="00CE01D3"/>
    <w:rsid w:val="00CE049E"/>
    <w:rsid w:val="00CE0A36"/>
    <w:rsid w:val="00CE0F17"/>
    <w:rsid w:val="00CE1FF6"/>
    <w:rsid w:val="00CE2126"/>
    <w:rsid w:val="00CE272D"/>
    <w:rsid w:val="00CE34F1"/>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3830"/>
    <w:rsid w:val="00D05BEC"/>
    <w:rsid w:val="00D05D9C"/>
    <w:rsid w:val="00D0636B"/>
    <w:rsid w:val="00D070C9"/>
    <w:rsid w:val="00D07F86"/>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75E44"/>
    <w:rsid w:val="00D81B34"/>
    <w:rsid w:val="00D83182"/>
    <w:rsid w:val="00D84DDE"/>
    <w:rsid w:val="00D84E59"/>
    <w:rsid w:val="00D85862"/>
    <w:rsid w:val="00D85B8A"/>
    <w:rsid w:val="00D901F3"/>
    <w:rsid w:val="00D93076"/>
    <w:rsid w:val="00D9337C"/>
    <w:rsid w:val="00D95B04"/>
    <w:rsid w:val="00D95C56"/>
    <w:rsid w:val="00D964D8"/>
    <w:rsid w:val="00D977D6"/>
    <w:rsid w:val="00DA1D00"/>
    <w:rsid w:val="00DA586B"/>
    <w:rsid w:val="00DA6D7E"/>
    <w:rsid w:val="00DA6FB7"/>
    <w:rsid w:val="00DA76B9"/>
    <w:rsid w:val="00DA7BC5"/>
    <w:rsid w:val="00DB2706"/>
    <w:rsid w:val="00DB465C"/>
    <w:rsid w:val="00DB5164"/>
    <w:rsid w:val="00DB5C6F"/>
    <w:rsid w:val="00DB7FB8"/>
    <w:rsid w:val="00DC19D6"/>
    <w:rsid w:val="00DC2015"/>
    <w:rsid w:val="00DC5BD8"/>
    <w:rsid w:val="00DC6260"/>
    <w:rsid w:val="00DC688A"/>
    <w:rsid w:val="00DC77ED"/>
    <w:rsid w:val="00DD22D3"/>
    <w:rsid w:val="00DD2389"/>
    <w:rsid w:val="00DD7485"/>
    <w:rsid w:val="00DE3455"/>
    <w:rsid w:val="00DE3587"/>
    <w:rsid w:val="00DE521B"/>
    <w:rsid w:val="00DF2755"/>
    <w:rsid w:val="00DF3E56"/>
    <w:rsid w:val="00DF4092"/>
    <w:rsid w:val="00E00B7B"/>
    <w:rsid w:val="00E01F67"/>
    <w:rsid w:val="00E03BC2"/>
    <w:rsid w:val="00E03E1C"/>
    <w:rsid w:val="00E06BC8"/>
    <w:rsid w:val="00E077AB"/>
    <w:rsid w:val="00E10580"/>
    <w:rsid w:val="00E12D95"/>
    <w:rsid w:val="00E16B72"/>
    <w:rsid w:val="00E1706C"/>
    <w:rsid w:val="00E24C54"/>
    <w:rsid w:val="00E31093"/>
    <w:rsid w:val="00E3117F"/>
    <w:rsid w:val="00E365DF"/>
    <w:rsid w:val="00E36FC2"/>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3F7E"/>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56BA"/>
    <w:rsid w:val="00EF646D"/>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55B31"/>
    <w:rsid w:val="00F614E1"/>
    <w:rsid w:val="00F62BC7"/>
    <w:rsid w:val="00F637C7"/>
    <w:rsid w:val="00F637DE"/>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4AF9"/>
    <w:rsid w:val="00FD6184"/>
    <w:rsid w:val="00FD7D04"/>
    <w:rsid w:val="00FE0006"/>
    <w:rsid w:val="00FE25D8"/>
    <w:rsid w:val="00FE7929"/>
    <w:rsid w:val="00FF0373"/>
    <w:rsid w:val="00FF25EC"/>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PlainText">
    <w:name w:val="Plain Text"/>
    <w:basedOn w:val="Normal"/>
    <w:link w:val="PlainTextChar"/>
    <w:uiPriority w:val="99"/>
    <w:unhideWhenUsed/>
    <w:rsid w:val="00CD0F7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0F76"/>
    <w:rPr>
      <w:rFonts w:ascii="Consolas" w:hAnsi="Consolas"/>
      <w:sz w:val="21"/>
      <w:szCs w:val="21"/>
    </w:rPr>
  </w:style>
  <w:style w:type="character" w:styleId="FollowedHyperlink">
    <w:name w:val="FollowedHyperlink"/>
    <w:basedOn w:val="DefaultParagraphFont"/>
    <w:uiPriority w:val="99"/>
    <w:semiHidden/>
    <w:unhideWhenUsed/>
    <w:rsid w:val="004E4B07"/>
    <w:rPr>
      <w:color w:val="800080" w:themeColor="followedHyperlink"/>
      <w:u w:val="single"/>
    </w:rPr>
  </w:style>
  <w:style w:type="paragraph" w:styleId="NormalWeb">
    <w:name w:val="Normal (Web)"/>
    <w:basedOn w:val="Normal"/>
    <w:uiPriority w:val="99"/>
    <w:semiHidden/>
    <w:unhideWhenUsed/>
    <w:rsid w:val="00517AA1"/>
    <w:pPr>
      <w:spacing w:before="12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PlainText">
    <w:name w:val="Plain Text"/>
    <w:basedOn w:val="Normal"/>
    <w:link w:val="PlainTextChar"/>
    <w:uiPriority w:val="99"/>
    <w:unhideWhenUsed/>
    <w:rsid w:val="00CD0F7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0F76"/>
    <w:rPr>
      <w:rFonts w:ascii="Consolas" w:hAnsi="Consolas"/>
      <w:sz w:val="21"/>
      <w:szCs w:val="21"/>
    </w:rPr>
  </w:style>
  <w:style w:type="character" w:styleId="FollowedHyperlink">
    <w:name w:val="FollowedHyperlink"/>
    <w:basedOn w:val="DefaultParagraphFont"/>
    <w:uiPriority w:val="99"/>
    <w:semiHidden/>
    <w:unhideWhenUsed/>
    <w:rsid w:val="004E4B07"/>
    <w:rPr>
      <w:color w:val="800080" w:themeColor="followedHyperlink"/>
      <w:u w:val="single"/>
    </w:rPr>
  </w:style>
  <w:style w:type="paragraph" w:styleId="NormalWeb">
    <w:name w:val="Normal (Web)"/>
    <w:basedOn w:val="Normal"/>
    <w:uiPriority w:val="99"/>
    <w:semiHidden/>
    <w:unhideWhenUsed/>
    <w:rsid w:val="00517AA1"/>
    <w:pPr>
      <w:spacing w:before="12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262762164">
      <w:bodyDiv w:val="1"/>
      <w:marLeft w:val="0"/>
      <w:marRight w:val="0"/>
      <w:marTop w:val="0"/>
      <w:marBottom w:val="0"/>
      <w:divBdr>
        <w:top w:val="none" w:sz="0" w:space="0" w:color="auto"/>
        <w:left w:val="none" w:sz="0" w:space="0" w:color="auto"/>
        <w:bottom w:val="none" w:sz="0" w:space="0" w:color="auto"/>
        <w:right w:val="none" w:sz="0" w:space="0" w:color="auto"/>
      </w:divBdr>
    </w:div>
    <w:div w:id="312682235">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150364949">
      <w:bodyDiv w:val="1"/>
      <w:marLeft w:val="0"/>
      <w:marRight w:val="0"/>
      <w:marTop w:val="0"/>
      <w:marBottom w:val="0"/>
      <w:divBdr>
        <w:top w:val="none" w:sz="0" w:space="0" w:color="auto"/>
        <w:left w:val="none" w:sz="0" w:space="0" w:color="auto"/>
        <w:bottom w:val="none" w:sz="0" w:space="0" w:color="auto"/>
        <w:right w:val="none" w:sz="0" w:space="0" w:color="auto"/>
      </w:divBdr>
    </w:div>
    <w:div w:id="1682779369">
      <w:bodyDiv w:val="1"/>
      <w:marLeft w:val="75"/>
      <w:marRight w:val="75"/>
      <w:marTop w:val="75"/>
      <w:marBottom w:val="75"/>
      <w:divBdr>
        <w:top w:val="none" w:sz="0" w:space="0" w:color="auto"/>
        <w:left w:val="none" w:sz="0" w:space="0" w:color="auto"/>
        <w:bottom w:val="none" w:sz="0" w:space="0" w:color="auto"/>
        <w:right w:val="none" w:sz="0" w:space="0" w:color="auto"/>
      </w:divBdr>
      <w:divsChild>
        <w:div w:id="1047685113">
          <w:marLeft w:val="0"/>
          <w:marRight w:val="0"/>
          <w:marTop w:val="75"/>
          <w:marBottom w:val="75"/>
          <w:divBdr>
            <w:top w:val="none" w:sz="0" w:space="0" w:color="auto"/>
            <w:left w:val="none" w:sz="0" w:space="0" w:color="auto"/>
            <w:bottom w:val="none" w:sz="0" w:space="0" w:color="auto"/>
            <w:right w:val="none" w:sz="0" w:space="0" w:color="auto"/>
          </w:divBdr>
          <w:divsChild>
            <w:div w:id="1400708003">
              <w:marLeft w:val="0"/>
              <w:marRight w:val="0"/>
              <w:marTop w:val="0"/>
              <w:marBottom w:val="0"/>
              <w:divBdr>
                <w:top w:val="single" w:sz="6" w:space="0" w:color="012F50"/>
                <w:left w:val="none" w:sz="0" w:space="0" w:color="012F50"/>
                <w:bottom w:val="single" w:sz="6" w:space="0" w:color="012F50"/>
                <w:right w:val="none" w:sz="0" w:space="0" w:color="012F50"/>
              </w:divBdr>
              <w:divsChild>
                <w:div w:id="965896034">
                  <w:marLeft w:val="0"/>
                  <w:marRight w:val="0"/>
                  <w:marTop w:val="0"/>
                  <w:marBottom w:val="0"/>
                  <w:divBdr>
                    <w:top w:val="none" w:sz="0" w:space="0" w:color="auto"/>
                    <w:left w:val="none" w:sz="0" w:space="0" w:color="auto"/>
                    <w:bottom w:val="none" w:sz="0" w:space="0" w:color="auto"/>
                    <w:right w:val="none" w:sz="0" w:space="0" w:color="auto"/>
                  </w:divBdr>
                  <w:divsChild>
                    <w:div w:id="1809784245">
                      <w:marLeft w:val="0"/>
                      <w:marRight w:val="0"/>
                      <w:marTop w:val="0"/>
                      <w:marBottom w:val="0"/>
                      <w:divBdr>
                        <w:top w:val="none" w:sz="0" w:space="0" w:color="auto"/>
                        <w:left w:val="none" w:sz="0" w:space="0" w:color="auto"/>
                        <w:bottom w:val="none" w:sz="0" w:space="0" w:color="auto"/>
                        <w:right w:val="none" w:sz="0" w:space="0" w:color="auto"/>
                      </w:divBdr>
                      <w:divsChild>
                        <w:div w:id="94139246">
                          <w:marLeft w:val="0"/>
                          <w:marRight w:val="0"/>
                          <w:marTop w:val="0"/>
                          <w:marBottom w:val="0"/>
                          <w:divBdr>
                            <w:top w:val="none" w:sz="0" w:space="0" w:color="auto"/>
                            <w:left w:val="none" w:sz="0" w:space="0" w:color="auto"/>
                            <w:bottom w:val="none" w:sz="0" w:space="0" w:color="auto"/>
                            <w:right w:val="none" w:sz="0" w:space="0" w:color="auto"/>
                          </w:divBdr>
                          <w:divsChild>
                            <w:div w:id="198586775">
                              <w:marLeft w:val="0"/>
                              <w:marRight w:val="0"/>
                              <w:marTop w:val="0"/>
                              <w:marBottom w:val="0"/>
                              <w:divBdr>
                                <w:top w:val="none" w:sz="0" w:space="0" w:color="auto"/>
                                <w:left w:val="none" w:sz="0" w:space="0" w:color="auto"/>
                                <w:bottom w:val="none" w:sz="0" w:space="0" w:color="auto"/>
                                <w:right w:val="none" w:sz="0" w:space="0" w:color="auto"/>
                              </w:divBdr>
                              <w:divsChild>
                                <w:div w:id="1100025480">
                                  <w:marLeft w:val="0"/>
                                  <w:marRight w:val="0"/>
                                  <w:marTop w:val="0"/>
                                  <w:marBottom w:val="0"/>
                                  <w:divBdr>
                                    <w:top w:val="none" w:sz="0" w:space="0" w:color="auto"/>
                                    <w:left w:val="none" w:sz="0" w:space="0" w:color="auto"/>
                                    <w:bottom w:val="none" w:sz="0" w:space="0" w:color="auto"/>
                                    <w:right w:val="none" w:sz="0" w:space="0" w:color="auto"/>
                                  </w:divBdr>
                                  <w:divsChild>
                                    <w:div w:id="1404835183">
                                      <w:marLeft w:val="0"/>
                                      <w:marRight w:val="0"/>
                                      <w:marTop w:val="0"/>
                                      <w:marBottom w:val="0"/>
                                      <w:divBdr>
                                        <w:top w:val="none" w:sz="0" w:space="0" w:color="auto"/>
                                        <w:left w:val="none" w:sz="0" w:space="0" w:color="auto"/>
                                        <w:bottom w:val="none" w:sz="0" w:space="0" w:color="auto"/>
                                        <w:right w:val="none" w:sz="0" w:space="0" w:color="auto"/>
                                      </w:divBdr>
                                      <w:divsChild>
                                        <w:div w:id="1843473770">
                                          <w:marLeft w:val="0"/>
                                          <w:marRight w:val="0"/>
                                          <w:marTop w:val="0"/>
                                          <w:marBottom w:val="0"/>
                                          <w:divBdr>
                                            <w:top w:val="none" w:sz="0" w:space="0" w:color="auto"/>
                                            <w:left w:val="none" w:sz="0" w:space="0" w:color="auto"/>
                                            <w:bottom w:val="none" w:sz="0" w:space="0" w:color="auto"/>
                                            <w:right w:val="none" w:sz="0" w:space="0" w:color="auto"/>
                                          </w:divBdr>
                                          <w:divsChild>
                                            <w:div w:id="88776577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7D2F-2578-4343-B702-B3CC1710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Jim Bradley</cp:lastModifiedBy>
  <cp:revision>2</cp:revision>
  <dcterms:created xsi:type="dcterms:W3CDTF">2012-08-10T18:12:00Z</dcterms:created>
  <dcterms:modified xsi:type="dcterms:W3CDTF">2012-08-10T18:12:00Z</dcterms:modified>
</cp:coreProperties>
</file>