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BE" w:rsidRDefault="006365BE" w:rsidP="006365BE">
      <w:pPr>
        <w:jc w:val="center"/>
        <w:rPr>
          <w:rFonts w:ascii="Arial Narrow" w:hAnsi="Arial Narrow"/>
          <w:b/>
          <w:sz w:val="20"/>
          <w:szCs w:val="20"/>
        </w:rPr>
      </w:pPr>
      <w:r w:rsidRPr="00553A5A">
        <w:rPr>
          <w:rFonts w:ascii="Arial Narrow" w:hAnsi="Arial Narrow"/>
          <w:b/>
          <w:sz w:val="20"/>
          <w:szCs w:val="20"/>
        </w:rPr>
        <w:t>Outcome Assessment Plan Feedback</w:t>
      </w:r>
    </w:p>
    <w:p w:rsidR="006365BE" w:rsidRPr="00553A5A" w:rsidRDefault="006365BE" w:rsidP="006365BE">
      <w:pPr>
        <w:jc w:val="center"/>
        <w:rPr>
          <w:rFonts w:ascii="Arial Narrow" w:hAnsi="Arial Narrow"/>
          <w:b/>
          <w:sz w:val="20"/>
          <w:szCs w:val="20"/>
        </w:rPr>
      </w:pPr>
    </w:p>
    <w:p w:rsidR="006365BE" w:rsidRDefault="006365BE" w:rsidP="006365BE">
      <w:pPr>
        <w:jc w:val="center"/>
        <w:rPr>
          <w:rFonts w:ascii="Arial Narrow" w:hAnsi="Arial Narrow"/>
          <w:b/>
          <w:sz w:val="20"/>
          <w:szCs w:val="20"/>
        </w:rPr>
      </w:pPr>
      <w:r w:rsidRPr="00553A5A">
        <w:rPr>
          <w:rFonts w:ascii="Arial Narrow" w:hAnsi="Arial Narrow"/>
          <w:b/>
          <w:sz w:val="20"/>
          <w:szCs w:val="20"/>
        </w:rPr>
        <w:t>For</w:t>
      </w:r>
      <w:r w:rsidRPr="00553A5A">
        <w:rPr>
          <w:rFonts w:ascii="Arial Narrow" w:hAnsi="Arial Narrow"/>
          <w:b/>
          <w:color w:val="FF0000"/>
          <w:sz w:val="20"/>
          <w:szCs w:val="20"/>
        </w:rPr>
        <w:t xml:space="preserve"> </w:t>
      </w:r>
      <w:r>
        <w:rPr>
          <w:rFonts w:ascii="Arial Narrow" w:hAnsi="Arial Narrow"/>
          <w:b/>
          <w:sz w:val="20"/>
          <w:szCs w:val="20"/>
        </w:rPr>
        <w:t>International Programs Office</w:t>
      </w:r>
    </w:p>
    <w:p w:rsidR="006365BE" w:rsidRPr="00553A5A" w:rsidRDefault="006365BE" w:rsidP="006365BE">
      <w:pPr>
        <w:jc w:val="center"/>
        <w:rPr>
          <w:rFonts w:ascii="Arial Narrow" w:hAnsi="Arial Narrow"/>
          <w:b/>
          <w:sz w:val="20"/>
          <w:szCs w:val="20"/>
        </w:rPr>
      </w:pPr>
    </w:p>
    <w:p w:rsidR="006365BE" w:rsidRPr="00553A5A" w:rsidRDefault="006365BE" w:rsidP="006365BE">
      <w:pPr>
        <w:rPr>
          <w:rFonts w:ascii="Arial Narrow" w:hAnsi="Arial Narrow" w:cstheme="minorHAnsi"/>
          <w:color w:val="FF0000"/>
          <w:sz w:val="20"/>
          <w:szCs w:val="20"/>
        </w:rPr>
      </w:pPr>
    </w:p>
    <w:p w:rsidR="008378BF" w:rsidRPr="00553A5A" w:rsidRDefault="008378BF" w:rsidP="008378BF">
      <w:pPr>
        <w:jc w:val="center"/>
        <w:rPr>
          <w:rFonts w:ascii="Arial Narrow" w:hAnsi="Arial Narrow"/>
          <w:sz w:val="20"/>
          <w:szCs w:val="20"/>
        </w:rPr>
      </w:pPr>
      <w:r w:rsidRPr="00553A5A">
        <w:rPr>
          <w:rFonts w:ascii="Arial Narrow" w:hAnsi="Arial Narrow"/>
          <w:b/>
          <w:sz w:val="20"/>
          <w:szCs w:val="20"/>
        </w:rPr>
        <w:t>2011</w:t>
      </w:r>
    </w:p>
    <w:p w:rsidR="008378BF" w:rsidRPr="00553A5A" w:rsidRDefault="008378BF" w:rsidP="008378B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sidRPr="00553A5A">
        <w:rPr>
          <w:rFonts w:ascii="Arial Narrow" w:hAnsi="Arial Narrow" w:cstheme="minorHAnsi"/>
          <w:color w:val="1F497D" w:themeColor="text2"/>
          <w:sz w:val="20"/>
          <w:szCs w:val="20"/>
        </w:rPr>
        <w:t>This plan is reviewed and accepted.  It will be posted, as submitted and without committee comments, to the NMU AQIP website under “Outcomes Assessment,”  “Service Unit Plans/</w:t>
      </w:r>
      <w:proofErr w:type="spellStart"/>
      <w:r w:rsidRPr="00553A5A">
        <w:rPr>
          <w:rFonts w:ascii="Arial Narrow" w:hAnsi="Arial Narrow" w:cstheme="minorHAnsi"/>
          <w:color w:val="1F497D" w:themeColor="text2"/>
          <w:sz w:val="20"/>
          <w:szCs w:val="20"/>
        </w:rPr>
        <w:t>Rpts</w:t>
      </w:r>
      <w:proofErr w:type="spellEnd"/>
      <w:r>
        <w:rPr>
          <w:rFonts w:ascii="Arial Narrow" w:hAnsi="Arial Narrow" w:cstheme="minorHAnsi"/>
          <w:color w:val="1F497D" w:themeColor="text2"/>
          <w:sz w:val="20"/>
          <w:szCs w:val="20"/>
        </w:rPr>
        <w:t>.</w:t>
      </w:r>
      <w:r w:rsidRPr="00553A5A">
        <w:rPr>
          <w:rFonts w:ascii="Arial Narrow" w:hAnsi="Arial Narrow" w:cstheme="minorHAnsi"/>
          <w:color w:val="1F497D" w:themeColor="text2"/>
          <w:sz w:val="20"/>
          <w:szCs w:val="20"/>
        </w:rPr>
        <w:t xml:space="preserve">” </w:t>
      </w:r>
    </w:p>
    <w:p w:rsidR="008378BF" w:rsidRPr="00553A5A" w:rsidRDefault="008378BF" w:rsidP="008378B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8378BF" w:rsidRDefault="008378BF" w:rsidP="008378B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r w:rsidRPr="00553A5A">
        <w:rPr>
          <w:rFonts w:ascii="Arial Narrow" w:hAnsi="Arial Narrow" w:cstheme="minorHAnsi"/>
          <w:color w:val="1F497D" w:themeColor="text2"/>
          <w:sz w:val="20"/>
          <w:szCs w:val="20"/>
        </w:rPr>
        <w:t xml:space="preserve">Comments on this page are a brief analysis of strengths and opportunities; detailed comments are embedded within your plan that follows. They do not require revisions, but please take them into account as your outcomes assessment work continues.  If you have questions, a member of the committee will be happy to meet with you.  The committee appreciates your efforts at continuous improvement.   </w:t>
      </w:r>
    </w:p>
    <w:p w:rsidR="008378BF" w:rsidRPr="00553A5A" w:rsidRDefault="008378BF" w:rsidP="008378B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color w:val="1F497D" w:themeColor="text2"/>
          <w:sz w:val="20"/>
          <w:szCs w:val="20"/>
        </w:rPr>
      </w:pPr>
    </w:p>
    <w:p w:rsidR="008378BF" w:rsidRPr="00553A5A" w:rsidRDefault="008378BF" w:rsidP="008378BF">
      <w:pPr>
        <w:pBdr>
          <w:top w:val="single" w:sz="4" w:space="1" w:color="1F497D" w:themeColor="text2" w:shadow="1"/>
          <w:left w:val="single" w:sz="4" w:space="4" w:color="1F497D" w:themeColor="text2" w:shadow="1"/>
          <w:bottom w:val="single" w:sz="4" w:space="1" w:color="1F497D" w:themeColor="text2" w:shadow="1"/>
          <w:right w:val="single" w:sz="4" w:space="4" w:color="1F497D" w:themeColor="text2" w:shadow="1"/>
        </w:pBdr>
        <w:rPr>
          <w:rFonts w:ascii="Arial Narrow" w:hAnsi="Arial Narrow" w:cstheme="minorHAnsi"/>
          <w:i/>
          <w:color w:val="1F497D" w:themeColor="text2"/>
          <w:sz w:val="20"/>
          <w:szCs w:val="20"/>
        </w:rPr>
      </w:pPr>
      <w:r w:rsidRPr="00553A5A">
        <w:rPr>
          <w:rFonts w:ascii="Arial Narrow" w:hAnsi="Arial Narrow" w:cstheme="minorHAnsi"/>
          <w:i/>
          <w:color w:val="1F497D" w:themeColor="text2"/>
          <w:sz w:val="20"/>
          <w:szCs w:val="20"/>
        </w:rPr>
        <w:t>Outcomes Assessment Committee</w:t>
      </w:r>
    </w:p>
    <w:p w:rsidR="006365BE" w:rsidRPr="00553A5A" w:rsidRDefault="006365BE" w:rsidP="006365BE">
      <w:pPr>
        <w:rPr>
          <w:rFonts w:ascii="Arial Narrow" w:hAnsi="Arial Narrow" w:cstheme="minorHAnsi"/>
          <w:color w:val="FF0000"/>
          <w:sz w:val="20"/>
          <w:szCs w:val="20"/>
        </w:rPr>
      </w:pPr>
    </w:p>
    <w:p w:rsidR="006365BE" w:rsidRPr="00553A5A" w:rsidRDefault="006365BE" w:rsidP="006365BE">
      <w:pPr>
        <w:rPr>
          <w:rFonts w:ascii="Arial Narrow" w:hAnsi="Arial Narrow"/>
          <w:sz w:val="20"/>
          <w:szCs w:val="20"/>
        </w:rPr>
      </w:pPr>
      <w:r w:rsidRPr="00553A5A">
        <w:rPr>
          <w:rFonts w:ascii="Arial Narrow" w:hAnsi="Arial Narrow"/>
          <w:sz w:val="20"/>
          <w:szCs w:val="20"/>
        </w:rPr>
        <w:t xml:space="preserve">The Outcomes Assessment Committee reviewed the Objectives and Means of Assessment sections of this plan. The feedback specifically identifies strengths and opportunities for improvement.  </w:t>
      </w:r>
      <w:r>
        <w:rPr>
          <w:rFonts w:ascii="Arial Narrow" w:hAnsi="Arial Narrow"/>
          <w:sz w:val="20"/>
          <w:szCs w:val="20"/>
        </w:rPr>
        <w:t>An</w:t>
      </w:r>
      <w:r w:rsidRPr="00553A5A">
        <w:rPr>
          <w:rFonts w:ascii="Arial Narrow" w:hAnsi="Arial Narrow"/>
          <w:sz w:val="20"/>
          <w:szCs w:val="20"/>
        </w:rPr>
        <w:t xml:space="preserve"> </w:t>
      </w:r>
      <w:proofErr w:type="gramStart"/>
      <w:r w:rsidRPr="00553A5A">
        <w:rPr>
          <w:rFonts w:ascii="Arial Narrow" w:hAnsi="Arial Narrow"/>
          <w:b/>
          <w:sz w:val="20"/>
          <w:szCs w:val="20"/>
        </w:rPr>
        <w:t>SS</w:t>
      </w:r>
      <w:r w:rsidRPr="00553A5A">
        <w:rPr>
          <w:rFonts w:ascii="Arial Narrow" w:hAnsi="Arial Narrow"/>
          <w:sz w:val="20"/>
          <w:szCs w:val="20"/>
        </w:rPr>
        <w:t>,</w:t>
      </w:r>
      <w:proofErr w:type="gramEnd"/>
      <w:r w:rsidRPr="00553A5A">
        <w:rPr>
          <w:rFonts w:ascii="Arial Narrow" w:hAnsi="Arial Narrow"/>
          <w:sz w:val="20"/>
          <w:szCs w:val="20"/>
        </w:rPr>
        <w:t xml:space="preserve"> identifies strengths, with the double letter signifying important achievements or capabilities upon which to build.  Opportunities are designated by </w:t>
      </w:r>
      <w:r w:rsidRPr="00553A5A">
        <w:rPr>
          <w:rFonts w:ascii="Arial Narrow" w:hAnsi="Arial Narrow"/>
          <w:b/>
          <w:sz w:val="20"/>
          <w:szCs w:val="20"/>
        </w:rPr>
        <w:t>O</w:t>
      </w:r>
      <w:r w:rsidRPr="00553A5A">
        <w:rPr>
          <w:rFonts w:ascii="Arial Narrow" w:hAnsi="Arial Narrow"/>
          <w:sz w:val="20"/>
          <w:szCs w:val="20"/>
        </w:rPr>
        <w:t xml:space="preserve">, with </w:t>
      </w:r>
      <w:r w:rsidRPr="00553A5A">
        <w:rPr>
          <w:rFonts w:ascii="Arial Narrow" w:hAnsi="Arial Narrow"/>
          <w:b/>
          <w:sz w:val="20"/>
          <w:szCs w:val="20"/>
        </w:rPr>
        <w:t xml:space="preserve">OO </w:t>
      </w:r>
      <w:r w:rsidRPr="00553A5A">
        <w:rPr>
          <w:rFonts w:ascii="Arial Narrow" w:hAnsi="Arial Narrow"/>
          <w:sz w:val="20"/>
          <w:szCs w:val="20"/>
        </w:rPr>
        <w:t xml:space="preserve">indicating areas where attention may result in more significant improvement.  When the report is submitted next year,   the committee will review the objectives in light of the data results and data usage. </w:t>
      </w:r>
    </w:p>
    <w:p w:rsidR="006365BE" w:rsidRPr="00553A5A" w:rsidRDefault="006365BE" w:rsidP="006365BE">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9"/>
        <w:gridCol w:w="2589"/>
        <w:gridCol w:w="2589"/>
        <w:gridCol w:w="2589"/>
      </w:tblGrid>
      <w:tr w:rsidR="006365BE" w:rsidRPr="00553A5A" w:rsidTr="006365BE">
        <w:tc>
          <w:tcPr>
            <w:tcW w:w="1475" w:type="pct"/>
            <w:shd w:val="clear" w:color="auto" w:fill="D9D9D9" w:themeFill="background1" w:themeFillShade="D9"/>
          </w:tcPr>
          <w:p w:rsidR="006365BE" w:rsidRPr="00553A5A" w:rsidRDefault="006365BE" w:rsidP="006365BE">
            <w:pPr>
              <w:jc w:val="center"/>
              <w:rPr>
                <w:rFonts w:ascii="Arial Narrow" w:hAnsi="Arial Narrow" w:cstheme="minorHAnsi"/>
                <w:b/>
                <w:sz w:val="20"/>
                <w:szCs w:val="20"/>
              </w:rPr>
            </w:pPr>
            <w:r w:rsidRPr="00553A5A">
              <w:rPr>
                <w:rFonts w:ascii="Arial Narrow" w:hAnsi="Arial Narrow" w:cstheme="minorHAnsi"/>
                <w:b/>
                <w:sz w:val="20"/>
                <w:szCs w:val="20"/>
              </w:rPr>
              <w:t>Section</w:t>
            </w:r>
          </w:p>
        </w:tc>
        <w:tc>
          <w:tcPr>
            <w:tcW w:w="1175" w:type="pct"/>
            <w:shd w:val="clear" w:color="auto" w:fill="D9D9D9" w:themeFill="background1" w:themeFillShade="D9"/>
          </w:tcPr>
          <w:p w:rsidR="006365BE" w:rsidRPr="00553A5A" w:rsidRDefault="006365BE" w:rsidP="006365BE">
            <w:pPr>
              <w:jc w:val="center"/>
              <w:rPr>
                <w:rFonts w:ascii="Arial Narrow" w:hAnsi="Arial Narrow" w:cstheme="minorHAnsi"/>
                <w:b/>
                <w:sz w:val="20"/>
                <w:szCs w:val="20"/>
              </w:rPr>
            </w:pPr>
            <w:r w:rsidRPr="00553A5A">
              <w:rPr>
                <w:rFonts w:ascii="Arial Narrow" w:hAnsi="Arial Narrow" w:cstheme="minorHAnsi"/>
                <w:b/>
                <w:sz w:val="20"/>
                <w:szCs w:val="20"/>
              </w:rPr>
              <w:t>Objective #1 S/O</w:t>
            </w:r>
          </w:p>
        </w:tc>
        <w:tc>
          <w:tcPr>
            <w:tcW w:w="1175" w:type="pct"/>
            <w:shd w:val="clear" w:color="auto" w:fill="D9D9D9" w:themeFill="background1" w:themeFillShade="D9"/>
          </w:tcPr>
          <w:p w:rsidR="006365BE" w:rsidRPr="00553A5A" w:rsidRDefault="006365BE" w:rsidP="006365BE">
            <w:pPr>
              <w:jc w:val="center"/>
              <w:rPr>
                <w:rFonts w:ascii="Arial Narrow" w:hAnsi="Arial Narrow" w:cstheme="minorHAnsi"/>
                <w:b/>
                <w:sz w:val="20"/>
                <w:szCs w:val="20"/>
              </w:rPr>
            </w:pPr>
            <w:r w:rsidRPr="00553A5A">
              <w:rPr>
                <w:rFonts w:ascii="Arial Narrow" w:hAnsi="Arial Narrow" w:cstheme="minorHAnsi"/>
                <w:b/>
                <w:sz w:val="20"/>
                <w:szCs w:val="20"/>
              </w:rPr>
              <w:t>Objective #2 S/O</w:t>
            </w:r>
          </w:p>
        </w:tc>
        <w:tc>
          <w:tcPr>
            <w:tcW w:w="1176" w:type="pct"/>
            <w:shd w:val="clear" w:color="auto" w:fill="D9D9D9" w:themeFill="background1" w:themeFillShade="D9"/>
          </w:tcPr>
          <w:p w:rsidR="006365BE" w:rsidRPr="00553A5A" w:rsidRDefault="006365BE" w:rsidP="006365BE">
            <w:pPr>
              <w:jc w:val="center"/>
              <w:rPr>
                <w:rFonts w:ascii="Arial Narrow" w:hAnsi="Arial Narrow" w:cstheme="minorHAnsi"/>
                <w:b/>
                <w:sz w:val="20"/>
                <w:szCs w:val="20"/>
              </w:rPr>
            </w:pPr>
            <w:r w:rsidRPr="00553A5A">
              <w:rPr>
                <w:rFonts w:ascii="Arial Narrow" w:hAnsi="Arial Narrow" w:cstheme="minorHAnsi"/>
                <w:b/>
                <w:sz w:val="20"/>
                <w:szCs w:val="20"/>
              </w:rPr>
              <w:t>Objective #3 S/O</w:t>
            </w:r>
          </w:p>
        </w:tc>
      </w:tr>
      <w:tr w:rsidR="006365BE" w:rsidRPr="0054515B" w:rsidTr="006365BE">
        <w:tc>
          <w:tcPr>
            <w:tcW w:w="1475" w:type="pct"/>
          </w:tcPr>
          <w:p w:rsidR="006365BE" w:rsidRPr="00553A5A" w:rsidRDefault="006365BE" w:rsidP="006365BE">
            <w:pPr>
              <w:rPr>
                <w:rFonts w:ascii="Arial Narrow" w:hAnsi="Arial Narrow" w:cstheme="minorHAnsi"/>
                <w:b/>
                <w:sz w:val="20"/>
                <w:szCs w:val="20"/>
              </w:rPr>
            </w:pPr>
            <w:r w:rsidRPr="00553A5A">
              <w:rPr>
                <w:rFonts w:ascii="Arial Narrow" w:hAnsi="Arial Narrow" w:cstheme="minorHAnsi"/>
                <w:b/>
                <w:sz w:val="20"/>
                <w:szCs w:val="20"/>
              </w:rPr>
              <w:t>Objective</w:t>
            </w:r>
          </w:p>
        </w:tc>
        <w:tc>
          <w:tcPr>
            <w:tcW w:w="1175" w:type="pct"/>
          </w:tcPr>
          <w:p w:rsidR="006365BE" w:rsidRPr="0054515B" w:rsidRDefault="008378BF" w:rsidP="008378BF">
            <w:pPr>
              <w:jc w:val="center"/>
              <w:rPr>
                <w:rFonts w:ascii="Arial Narrow" w:hAnsi="Arial Narrow" w:cstheme="minorHAnsi"/>
                <w:color w:val="FF0000"/>
                <w:sz w:val="20"/>
                <w:szCs w:val="20"/>
              </w:rPr>
            </w:pPr>
            <w:r>
              <w:rPr>
                <w:rFonts w:ascii="Arial Narrow" w:hAnsi="Arial Narrow" w:cstheme="minorHAnsi"/>
                <w:color w:val="FF0000"/>
                <w:sz w:val="20"/>
                <w:szCs w:val="20"/>
              </w:rPr>
              <w:t>SS</w:t>
            </w:r>
          </w:p>
        </w:tc>
        <w:tc>
          <w:tcPr>
            <w:tcW w:w="1175" w:type="pct"/>
          </w:tcPr>
          <w:p w:rsidR="006365BE" w:rsidRPr="0054515B" w:rsidRDefault="008378BF" w:rsidP="006365BE">
            <w:pPr>
              <w:jc w:val="center"/>
              <w:rPr>
                <w:rFonts w:ascii="Arial Narrow" w:hAnsi="Arial Narrow" w:cstheme="minorHAnsi"/>
                <w:color w:val="FF0000"/>
                <w:sz w:val="20"/>
                <w:szCs w:val="20"/>
              </w:rPr>
            </w:pPr>
            <w:r>
              <w:rPr>
                <w:rFonts w:ascii="Arial Narrow" w:hAnsi="Arial Narrow" w:cstheme="minorHAnsi"/>
                <w:color w:val="FF0000"/>
                <w:sz w:val="20"/>
                <w:szCs w:val="20"/>
              </w:rPr>
              <w:t>SS</w:t>
            </w:r>
          </w:p>
        </w:tc>
        <w:tc>
          <w:tcPr>
            <w:tcW w:w="1176" w:type="pct"/>
          </w:tcPr>
          <w:p w:rsidR="006365BE" w:rsidRPr="0054515B" w:rsidRDefault="00FE7E40" w:rsidP="006365BE">
            <w:pPr>
              <w:jc w:val="center"/>
              <w:rPr>
                <w:rFonts w:ascii="Arial Narrow" w:hAnsi="Arial Narrow" w:cstheme="minorHAnsi"/>
                <w:color w:val="FF0000"/>
                <w:sz w:val="20"/>
                <w:szCs w:val="20"/>
              </w:rPr>
            </w:pPr>
            <w:r>
              <w:rPr>
                <w:rFonts w:ascii="Arial Narrow" w:hAnsi="Arial Narrow" w:cstheme="minorHAnsi"/>
                <w:color w:val="FF0000"/>
                <w:sz w:val="20"/>
                <w:szCs w:val="20"/>
              </w:rPr>
              <w:t>SS</w:t>
            </w:r>
          </w:p>
        </w:tc>
      </w:tr>
      <w:tr w:rsidR="006365BE" w:rsidRPr="0054515B" w:rsidTr="006365BE">
        <w:tc>
          <w:tcPr>
            <w:tcW w:w="1475" w:type="pct"/>
          </w:tcPr>
          <w:p w:rsidR="006365BE" w:rsidRPr="00553A5A" w:rsidRDefault="006365BE" w:rsidP="006365BE">
            <w:pPr>
              <w:rPr>
                <w:rFonts w:ascii="Arial Narrow" w:hAnsi="Arial Narrow" w:cstheme="minorHAnsi"/>
                <w:b/>
                <w:sz w:val="20"/>
                <w:szCs w:val="20"/>
              </w:rPr>
            </w:pPr>
            <w:r w:rsidRPr="00553A5A">
              <w:rPr>
                <w:rFonts w:ascii="Arial Narrow" w:hAnsi="Arial Narrow" w:cstheme="minorHAnsi"/>
                <w:b/>
                <w:sz w:val="20"/>
                <w:szCs w:val="20"/>
              </w:rPr>
              <w:t>Means of Assessment</w:t>
            </w:r>
          </w:p>
        </w:tc>
        <w:tc>
          <w:tcPr>
            <w:tcW w:w="1175" w:type="pct"/>
          </w:tcPr>
          <w:p w:rsidR="006365BE" w:rsidRPr="0054515B" w:rsidRDefault="008378BF" w:rsidP="006365BE">
            <w:pPr>
              <w:jc w:val="center"/>
              <w:rPr>
                <w:rFonts w:ascii="Arial Narrow" w:hAnsi="Arial Narrow" w:cstheme="minorHAnsi"/>
                <w:color w:val="FF0000"/>
                <w:sz w:val="20"/>
                <w:szCs w:val="20"/>
              </w:rPr>
            </w:pPr>
            <w:r>
              <w:rPr>
                <w:rFonts w:ascii="Arial Narrow" w:hAnsi="Arial Narrow" w:cstheme="minorHAnsi"/>
                <w:color w:val="FF0000"/>
                <w:sz w:val="20"/>
                <w:szCs w:val="20"/>
              </w:rPr>
              <w:t>SS</w:t>
            </w:r>
          </w:p>
        </w:tc>
        <w:tc>
          <w:tcPr>
            <w:tcW w:w="1175" w:type="pct"/>
          </w:tcPr>
          <w:p w:rsidR="006365BE" w:rsidRPr="0054515B" w:rsidRDefault="008378BF" w:rsidP="006365BE">
            <w:pPr>
              <w:jc w:val="center"/>
              <w:rPr>
                <w:rFonts w:ascii="Arial Narrow" w:hAnsi="Arial Narrow" w:cstheme="minorHAnsi"/>
                <w:color w:val="FF0000"/>
                <w:sz w:val="20"/>
                <w:szCs w:val="20"/>
              </w:rPr>
            </w:pPr>
            <w:r>
              <w:rPr>
                <w:rFonts w:ascii="Arial Narrow" w:hAnsi="Arial Narrow" w:cstheme="minorHAnsi"/>
                <w:color w:val="FF0000"/>
                <w:sz w:val="20"/>
                <w:szCs w:val="20"/>
              </w:rPr>
              <w:t>SS</w:t>
            </w:r>
          </w:p>
        </w:tc>
        <w:tc>
          <w:tcPr>
            <w:tcW w:w="1176" w:type="pct"/>
          </w:tcPr>
          <w:p w:rsidR="006365BE" w:rsidRPr="0054515B" w:rsidRDefault="008378BF" w:rsidP="006365BE">
            <w:pPr>
              <w:jc w:val="center"/>
              <w:rPr>
                <w:rFonts w:ascii="Arial Narrow" w:hAnsi="Arial Narrow" w:cstheme="minorHAnsi"/>
                <w:color w:val="FF0000"/>
                <w:sz w:val="20"/>
                <w:szCs w:val="20"/>
              </w:rPr>
            </w:pPr>
            <w:r>
              <w:rPr>
                <w:rFonts w:ascii="Arial Narrow" w:hAnsi="Arial Narrow" w:cstheme="minorHAnsi"/>
                <w:color w:val="FF0000"/>
                <w:sz w:val="20"/>
                <w:szCs w:val="20"/>
              </w:rPr>
              <w:t>S</w:t>
            </w:r>
            <w:r w:rsidR="00FE7E40">
              <w:rPr>
                <w:rFonts w:ascii="Arial Narrow" w:hAnsi="Arial Narrow" w:cstheme="minorHAnsi"/>
                <w:color w:val="FF0000"/>
                <w:sz w:val="20"/>
                <w:szCs w:val="20"/>
              </w:rPr>
              <w:t>S</w:t>
            </w:r>
          </w:p>
        </w:tc>
      </w:tr>
      <w:tr w:rsidR="006365BE" w:rsidRPr="00553A5A" w:rsidTr="006365BE">
        <w:tc>
          <w:tcPr>
            <w:tcW w:w="5000" w:type="pct"/>
            <w:gridSpan w:val="4"/>
            <w:shd w:val="clear" w:color="auto" w:fill="D9D9D9" w:themeFill="background1" w:themeFillShade="D9"/>
          </w:tcPr>
          <w:p w:rsidR="006365BE" w:rsidRPr="00553A5A" w:rsidRDefault="006365BE" w:rsidP="006365BE">
            <w:pPr>
              <w:rPr>
                <w:rFonts w:ascii="Arial Narrow" w:hAnsi="Arial Narrow" w:cstheme="minorHAnsi"/>
                <w:sz w:val="20"/>
                <w:szCs w:val="20"/>
              </w:rPr>
            </w:pPr>
            <w:r w:rsidRPr="00553A5A">
              <w:rPr>
                <w:rFonts w:ascii="Arial Narrow" w:hAnsi="Arial Narrow" w:cstheme="minorHAnsi"/>
                <w:sz w:val="20"/>
                <w:szCs w:val="20"/>
              </w:rPr>
              <w:t>General Comments:</w:t>
            </w:r>
            <w:r>
              <w:rPr>
                <w:rFonts w:ascii="Arial Narrow" w:hAnsi="Arial Narrow" w:cstheme="minorHAnsi"/>
                <w:sz w:val="20"/>
                <w:szCs w:val="20"/>
              </w:rPr>
              <w:t xml:space="preserve"> </w:t>
            </w:r>
          </w:p>
        </w:tc>
      </w:tr>
      <w:tr w:rsidR="006365BE" w:rsidRPr="00553A5A" w:rsidTr="006365BE">
        <w:tc>
          <w:tcPr>
            <w:tcW w:w="5000" w:type="pct"/>
            <w:gridSpan w:val="4"/>
          </w:tcPr>
          <w:p w:rsidR="009074A0" w:rsidRPr="0054515B" w:rsidRDefault="008378BF" w:rsidP="009074A0">
            <w:pPr>
              <w:pStyle w:val="PlainText"/>
              <w:spacing w:after="240"/>
              <w:rPr>
                <w:rFonts w:ascii="Arial Narrow" w:hAnsi="Arial Narrow" w:cstheme="minorHAnsi"/>
                <w:color w:val="FF0000"/>
                <w:sz w:val="20"/>
                <w:szCs w:val="20"/>
              </w:rPr>
            </w:pPr>
            <w:r>
              <w:rPr>
                <w:rFonts w:ascii="Arial Narrow" w:hAnsi="Arial Narrow" w:cstheme="minorHAnsi"/>
                <w:color w:val="FF0000"/>
                <w:sz w:val="20"/>
                <w:szCs w:val="20"/>
              </w:rPr>
              <w:t>Revisions were helpful</w:t>
            </w:r>
          </w:p>
        </w:tc>
      </w:tr>
    </w:tbl>
    <w:p w:rsidR="006365BE" w:rsidRPr="00553A5A" w:rsidRDefault="006365BE" w:rsidP="006365BE">
      <w:pPr>
        <w:rPr>
          <w:rFonts w:ascii="Arial Narrow" w:hAnsi="Arial Narrow"/>
          <w:sz w:val="20"/>
          <w:szCs w:val="20"/>
        </w:rPr>
      </w:pPr>
      <w:r w:rsidRPr="00553A5A">
        <w:rPr>
          <w:rFonts w:ascii="Arial Narrow" w:hAnsi="Arial Narrow"/>
          <w:b/>
          <w:sz w:val="20"/>
          <w:szCs w:val="20"/>
        </w:rPr>
        <w:tab/>
      </w:r>
      <w:r w:rsidRPr="00553A5A">
        <w:rPr>
          <w:rFonts w:ascii="Arial Narrow" w:hAnsi="Arial Narrow"/>
          <w:b/>
          <w:sz w:val="20"/>
          <w:szCs w:val="20"/>
        </w:rPr>
        <w:tab/>
      </w:r>
    </w:p>
    <w:p w:rsidR="006365BE" w:rsidRPr="00553A5A" w:rsidRDefault="006365BE" w:rsidP="006365BE">
      <w:pPr>
        <w:rPr>
          <w:rFonts w:ascii="Arial Narrow" w:hAnsi="Arial Narrow"/>
          <w:sz w:val="20"/>
          <w:szCs w:val="20"/>
        </w:rPr>
      </w:pPr>
      <w:r w:rsidRPr="00553A5A">
        <w:rPr>
          <w:rFonts w:ascii="Arial Narrow" w:hAnsi="Arial Narrow"/>
          <w:b/>
          <w:sz w:val="20"/>
          <w:szCs w:val="20"/>
        </w:rPr>
        <w:tab/>
      </w:r>
    </w:p>
    <w:p w:rsidR="006365BE" w:rsidRPr="00553A5A" w:rsidRDefault="006365BE" w:rsidP="006365BE">
      <w:pPr>
        <w:jc w:val="center"/>
        <w:rPr>
          <w:rFonts w:ascii="Arial Narrow" w:hAnsi="Arial Narrow"/>
          <w:sz w:val="20"/>
          <w:szCs w:val="20"/>
        </w:rPr>
      </w:pPr>
      <w:r w:rsidRPr="00553A5A">
        <w:rPr>
          <w:rFonts w:ascii="Arial Narrow" w:hAnsi="Arial Narrow"/>
          <w:sz w:val="20"/>
          <w:szCs w:val="20"/>
        </w:rPr>
        <w:t>(Your plan and detailed comments begin on the next page)</w:t>
      </w:r>
    </w:p>
    <w:p w:rsidR="006365BE" w:rsidRPr="00553A5A" w:rsidRDefault="006365BE" w:rsidP="006365BE">
      <w:pPr>
        <w:rPr>
          <w:rFonts w:ascii="Arial Narrow" w:hAnsi="Arial Narrow"/>
          <w:b/>
          <w:sz w:val="20"/>
          <w:szCs w:val="20"/>
        </w:rPr>
      </w:pPr>
    </w:p>
    <w:p w:rsidR="006365BE" w:rsidRPr="00553A5A" w:rsidRDefault="006365BE" w:rsidP="006365BE">
      <w:pPr>
        <w:rPr>
          <w:rFonts w:ascii="Arial Narrow" w:hAnsi="Arial Narrow"/>
          <w:b/>
          <w:sz w:val="20"/>
          <w:szCs w:val="20"/>
        </w:rPr>
      </w:pPr>
    </w:p>
    <w:p w:rsidR="006365BE" w:rsidRPr="0042529C" w:rsidRDefault="006365BE" w:rsidP="006365BE">
      <w:pPr>
        <w:rPr>
          <w:rFonts w:ascii="Arial Narrow" w:hAnsi="Arial Narrow"/>
          <w:b/>
          <w:sz w:val="20"/>
          <w:szCs w:val="20"/>
        </w:rPr>
      </w:pPr>
    </w:p>
    <w:p w:rsidR="006365BE" w:rsidRDefault="006365BE">
      <w:pPr>
        <w:spacing w:after="200" w:line="276" w:lineRule="auto"/>
        <w:rPr>
          <w:rFonts w:ascii="Arial Narrow" w:hAnsi="Arial Narrow" w:cs="Arial"/>
          <w:b/>
          <w:szCs w:val="28"/>
        </w:rPr>
      </w:pPr>
      <w:r>
        <w:rPr>
          <w:rFonts w:ascii="Arial Narrow" w:hAnsi="Arial Narrow" w:cs="Arial"/>
          <w:b/>
          <w:szCs w:val="28"/>
        </w:rPr>
        <w:br w:type="page"/>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lastRenderedPageBreak/>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59709F" w:rsidP="00254735">
            <w:pPr>
              <w:rPr>
                <w:rFonts w:ascii="Arial Narrow" w:hAnsi="Arial Narrow"/>
              </w:rPr>
            </w:pPr>
            <w:r>
              <w:rPr>
                <w:rFonts w:ascii="Arial Narrow" w:hAnsi="Arial Narrow"/>
              </w:rPr>
              <w:t>International Programs</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F13C94" w:rsidP="00F13C94">
            <w:pPr>
              <w:rPr>
                <w:rFonts w:ascii="Arial Narrow" w:hAnsi="Arial Narrow" w:cs="Arial"/>
              </w:rPr>
            </w:pPr>
            <w:r w:rsidRPr="00590761">
              <w:rPr>
                <w:rFonts w:ascii="Arial Narrow" w:hAnsi="Arial Narrow" w:cs="Arial"/>
                <w:sz w:val="22"/>
                <w:szCs w:val="22"/>
                <w:u w:val="single"/>
              </w:rPr>
              <w:sym w:font="Wingdings" w:char="F0A8"/>
            </w: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Pr>
                <w:rFonts w:ascii="Arial Narrow" w:hAnsi="Arial Narrow" w:cs="Arial"/>
                <w:sz w:val="22"/>
                <w:szCs w:val="22"/>
                <w:u w:val="single"/>
              </w:rPr>
              <w:t>X</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F13C94" w:rsidP="00F13C94">
            <w:pPr>
              <w:rPr>
                <w:rFonts w:ascii="Arial Narrow" w:hAnsi="Arial Narrow" w:cs="Arial"/>
              </w:rPr>
            </w:pPr>
            <w:r>
              <w:rPr>
                <w:rFonts w:ascii="Arial Narrow" w:hAnsi="Arial Narrow" w:cs="Arial"/>
              </w:rPr>
              <w:t xml:space="preserve">1 August </w:t>
            </w:r>
            <w:r w:rsidR="0059709F">
              <w:rPr>
                <w:rFonts w:ascii="Arial Narrow" w:hAnsi="Arial Narrow" w:cs="Arial"/>
              </w:rPr>
              <w:t>201</w:t>
            </w:r>
            <w:r>
              <w:rPr>
                <w:rFonts w:ascii="Arial Narrow" w:hAnsi="Arial Narrow" w:cs="Arial"/>
              </w:rPr>
              <w:t>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60EE2"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59709F">
              <w:rPr>
                <w:rFonts w:ascii="Arial Narrow" w:hAnsi="Arial Narrow" w:cs="Arial"/>
                <w:b/>
                <w:sz w:val="22"/>
                <w:szCs w:val="22"/>
              </w:rPr>
              <w:t>X</w:t>
            </w:r>
            <w:r w:rsidR="007D2C63">
              <w:rPr>
                <w:rFonts w:ascii="Arial Narrow" w:hAnsi="Arial Narrow" w:cs="Arial"/>
                <w:b/>
                <w:sz w:val="22"/>
                <w:szCs w:val="22"/>
              </w:rPr>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59709F" w:rsidP="00E47E9A">
            <w:pPr>
              <w:rPr>
                <w:rFonts w:ascii="Arial Narrow" w:hAnsi="Arial Narrow" w:cs="Arial"/>
                <w:szCs w:val="20"/>
              </w:rPr>
            </w:pPr>
            <w:r>
              <w:rPr>
                <w:rFonts w:ascii="Arial Narrow" w:hAnsi="Arial Narrow" w:cs="Arial"/>
                <w:szCs w:val="20"/>
              </w:rPr>
              <w:t>The International Programs office supports and promotes the University’s goals for academic excellence, diversity and citizenship by encouraging responsible and effective engagement with global issues and actions.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BD6345"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BD6345"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BD6345"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BD6345"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003135F6"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BD6345"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BD6345"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D010A0" w:rsidRDefault="005F4E61" w:rsidP="005F4E61">
            <w:pPr>
              <w:spacing w:after="240"/>
              <w:rPr>
                <w:rFonts w:ascii="Arial Narrow" w:hAnsi="Arial Narrow" w:cs="Arial"/>
                <w:sz w:val="20"/>
                <w:szCs w:val="20"/>
              </w:rPr>
            </w:pPr>
            <w:r>
              <w:rPr>
                <w:rFonts w:ascii="Arial Narrow" w:hAnsi="Arial Narrow" w:cs="Arial"/>
                <w:sz w:val="20"/>
                <w:szCs w:val="20"/>
              </w:rPr>
              <w:t xml:space="preserve">The International Programs Office (IPO) will create and evaluate baseline measurements to monitor and measure targets for increased study/volunteer/intern abroad opportunities and international student enrollment. </w:t>
            </w:r>
          </w:p>
          <w:p w:rsidR="00ED1C8B" w:rsidRDefault="00ED1C8B" w:rsidP="005F4E61">
            <w:pPr>
              <w:spacing w:after="240"/>
              <w:rPr>
                <w:rFonts w:ascii="Arial Narrow" w:hAnsi="Arial Narrow" w:cs="Arial"/>
                <w:sz w:val="20"/>
                <w:szCs w:val="20"/>
              </w:rPr>
            </w:pPr>
          </w:p>
          <w:p w:rsidR="00ED1C8B" w:rsidRPr="00ED1C8B" w:rsidRDefault="00ED1C8B" w:rsidP="00ED1C8B">
            <w:pPr>
              <w:spacing w:after="240"/>
              <w:rPr>
                <w:rFonts w:ascii="Arial Narrow" w:hAnsi="Arial Narrow" w:cs="Arial"/>
                <w:color w:val="FF0000"/>
                <w:sz w:val="20"/>
                <w:szCs w:val="20"/>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254735" w:rsidRDefault="00262A66" w:rsidP="00262A66">
            <w:pPr>
              <w:rPr>
                <w:rFonts w:ascii="Arial Narrow" w:hAnsi="Arial Narrow" w:cs="Arial"/>
                <w:sz w:val="20"/>
                <w:szCs w:val="20"/>
              </w:rPr>
            </w:pPr>
            <w:r>
              <w:rPr>
                <w:rFonts w:ascii="Arial Narrow" w:hAnsi="Arial Narrow" w:cs="Arial"/>
                <w:sz w:val="20"/>
                <w:szCs w:val="20"/>
              </w:rPr>
              <w:t>1 a. IPO maintains a</w:t>
            </w:r>
            <w:r w:rsidR="00A158AB">
              <w:rPr>
                <w:rFonts w:ascii="Arial Narrow" w:hAnsi="Arial Narrow" w:cs="Arial"/>
                <w:sz w:val="20"/>
                <w:szCs w:val="20"/>
              </w:rPr>
              <w:t>n electronic</w:t>
            </w:r>
            <w:r>
              <w:rPr>
                <w:rFonts w:ascii="Arial Narrow" w:hAnsi="Arial Narrow" w:cs="Arial"/>
                <w:sz w:val="20"/>
                <w:szCs w:val="20"/>
              </w:rPr>
              <w:t xml:space="preserve"> database to record international student enrollment from 1998 to present, tracking host countries and institutions</w:t>
            </w:r>
            <w:r w:rsidR="002778A8">
              <w:rPr>
                <w:rFonts w:ascii="Arial Narrow" w:hAnsi="Arial Narrow" w:cs="Arial"/>
                <w:sz w:val="20"/>
                <w:szCs w:val="20"/>
              </w:rPr>
              <w:t>, type of degree, and academic major.</w:t>
            </w:r>
            <w:r>
              <w:rPr>
                <w:rFonts w:ascii="Arial Narrow" w:hAnsi="Arial Narrow" w:cs="Arial"/>
                <w:sz w:val="20"/>
                <w:szCs w:val="20"/>
              </w:rPr>
              <w:t xml:space="preserve">  </w:t>
            </w:r>
            <w:r w:rsidR="002778A8">
              <w:rPr>
                <w:rFonts w:ascii="Arial Narrow" w:hAnsi="Arial Narrow" w:cs="Arial"/>
                <w:sz w:val="20"/>
                <w:szCs w:val="20"/>
              </w:rPr>
              <w:t>IPO reports international student enrollment through</w:t>
            </w:r>
            <w:r w:rsidR="005F4E61">
              <w:rPr>
                <w:rFonts w:ascii="Arial Narrow" w:hAnsi="Arial Narrow" w:cs="Arial"/>
                <w:sz w:val="20"/>
                <w:szCs w:val="20"/>
              </w:rPr>
              <w:t xml:space="preserve"> the Institute for International Education (IIE)</w:t>
            </w:r>
            <w:r w:rsidR="002778A8">
              <w:rPr>
                <w:rFonts w:ascii="Arial Narrow" w:hAnsi="Arial Narrow" w:cs="Arial"/>
                <w:sz w:val="20"/>
                <w:szCs w:val="20"/>
              </w:rPr>
              <w:t xml:space="preserve"> annual Open Doors Survey, with print copies available from 1993-present.  </w:t>
            </w:r>
            <w:r>
              <w:rPr>
                <w:rFonts w:ascii="Arial Narrow" w:hAnsi="Arial Narrow" w:cs="Arial"/>
                <w:sz w:val="20"/>
                <w:szCs w:val="20"/>
              </w:rPr>
              <w:t xml:space="preserve">IPO </w:t>
            </w:r>
            <w:r w:rsidR="005F4E61">
              <w:rPr>
                <w:rFonts w:ascii="Arial Narrow" w:hAnsi="Arial Narrow" w:cs="Arial"/>
                <w:sz w:val="20"/>
                <w:szCs w:val="20"/>
              </w:rPr>
              <w:t xml:space="preserve">will track </w:t>
            </w:r>
            <w:r>
              <w:rPr>
                <w:rFonts w:ascii="Arial Narrow" w:hAnsi="Arial Narrow" w:cs="Arial"/>
                <w:sz w:val="20"/>
                <w:szCs w:val="20"/>
              </w:rPr>
              <w:t>s</w:t>
            </w:r>
            <w:r w:rsidR="00A158AB">
              <w:rPr>
                <w:rFonts w:ascii="Arial Narrow" w:hAnsi="Arial Narrow" w:cs="Arial"/>
                <w:sz w:val="20"/>
                <w:szCs w:val="20"/>
              </w:rPr>
              <w:t xml:space="preserve">tudent enrollment decisions via </w:t>
            </w:r>
            <w:r>
              <w:rPr>
                <w:rFonts w:ascii="Arial Narrow" w:hAnsi="Arial Narrow" w:cs="Arial"/>
                <w:sz w:val="20"/>
                <w:szCs w:val="20"/>
              </w:rPr>
              <w:t xml:space="preserve">entry and exit surveys; </w:t>
            </w:r>
            <w:r w:rsidR="00A158AB">
              <w:rPr>
                <w:rFonts w:ascii="Arial Narrow" w:hAnsi="Arial Narrow" w:cs="Arial"/>
                <w:sz w:val="20"/>
                <w:szCs w:val="20"/>
              </w:rPr>
              <w:t xml:space="preserve">electronic </w:t>
            </w:r>
            <w:r>
              <w:rPr>
                <w:rFonts w:ascii="Arial Narrow" w:hAnsi="Arial Narrow" w:cs="Arial"/>
                <w:sz w:val="20"/>
                <w:szCs w:val="20"/>
              </w:rPr>
              <w:t xml:space="preserve">tracking of data will be implemented in 2011-2012 through </w:t>
            </w:r>
            <w:proofErr w:type="spellStart"/>
            <w:r>
              <w:rPr>
                <w:rFonts w:ascii="Arial Narrow" w:hAnsi="Arial Narrow" w:cs="Arial"/>
                <w:sz w:val="20"/>
                <w:szCs w:val="20"/>
              </w:rPr>
              <w:t>Qualtrics</w:t>
            </w:r>
            <w:proofErr w:type="spellEnd"/>
            <w:r>
              <w:rPr>
                <w:rFonts w:ascii="Arial Narrow" w:hAnsi="Arial Narrow" w:cs="Arial"/>
                <w:sz w:val="20"/>
                <w:szCs w:val="20"/>
              </w:rPr>
              <w:t xml:space="preserve"> surveys.</w:t>
            </w:r>
            <w:r w:rsidR="005F4E61">
              <w:rPr>
                <w:rFonts w:ascii="Arial Narrow" w:hAnsi="Arial Narrow" w:cs="Arial"/>
                <w:sz w:val="20"/>
                <w:szCs w:val="20"/>
              </w:rPr>
              <w:t xml:space="preserve">  Results will be </w:t>
            </w:r>
            <w:r w:rsidR="002778A8">
              <w:rPr>
                <w:rFonts w:ascii="Arial Narrow" w:hAnsi="Arial Narrow" w:cs="Arial"/>
                <w:sz w:val="20"/>
                <w:szCs w:val="20"/>
              </w:rPr>
              <w:t xml:space="preserve">used to </w:t>
            </w:r>
            <w:r w:rsidR="005F4E61">
              <w:rPr>
                <w:rFonts w:ascii="Arial Narrow" w:hAnsi="Arial Narrow" w:cs="Arial"/>
                <w:sz w:val="20"/>
                <w:szCs w:val="20"/>
              </w:rPr>
              <w:t>develop strategies for improved recruitment and retention (see Objective #2).</w:t>
            </w:r>
          </w:p>
          <w:p w:rsidR="00A158AB" w:rsidRDefault="00A158AB" w:rsidP="00262A66">
            <w:pPr>
              <w:rPr>
                <w:rFonts w:ascii="Arial Narrow" w:hAnsi="Arial Narrow" w:cs="Arial"/>
                <w:sz w:val="20"/>
                <w:szCs w:val="20"/>
              </w:rPr>
            </w:pPr>
          </w:p>
          <w:p w:rsidR="00A158AB" w:rsidRDefault="00262A66" w:rsidP="002778A8">
            <w:pPr>
              <w:rPr>
                <w:rFonts w:ascii="Arial Narrow" w:hAnsi="Arial Narrow" w:cs="Arial"/>
                <w:sz w:val="20"/>
                <w:szCs w:val="20"/>
              </w:rPr>
            </w:pPr>
            <w:r>
              <w:rPr>
                <w:rFonts w:ascii="Arial Narrow" w:hAnsi="Arial Narrow" w:cs="Arial"/>
                <w:sz w:val="20"/>
                <w:szCs w:val="20"/>
              </w:rPr>
              <w:t>1 b. IPO maintains a database to record study abroad enrollment from 1998 to present, tracking destinations, partners/institutions, length of study; results are reported through IIE’s annual Open Doors Survey and are available</w:t>
            </w:r>
            <w:r w:rsidR="002778A8">
              <w:rPr>
                <w:rFonts w:ascii="Arial Narrow" w:hAnsi="Arial Narrow" w:cs="Arial"/>
                <w:sz w:val="20"/>
                <w:szCs w:val="20"/>
              </w:rPr>
              <w:t xml:space="preserve"> in print copy </w:t>
            </w:r>
            <w:r>
              <w:rPr>
                <w:rFonts w:ascii="Arial Narrow" w:hAnsi="Arial Narrow" w:cs="Arial"/>
                <w:sz w:val="20"/>
                <w:szCs w:val="20"/>
              </w:rPr>
              <w:t xml:space="preserve">from </w:t>
            </w:r>
            <w:r w:rsidR="002778A8">
              <w:rPr>
                <w:rFonts w:ascii="Arial Narrow" w:hAnsi="Arial Narrow" w:cs="Arial"/>
                <w:sz w:val="20"/>
                <w:szCs w:val="20"/>
              </w:rPr>
              <w:t xml:space="preserve">1993-present.  Faculty-led enrollment has been included in IPO’s administrative and reporting </w:t>
            </w:r>
            <w:r w:rsidR="002778A8">
              <w:rPr>
                <w:rFonts w:ascii="Arial Narrow" w:hAnsi="Arial Narrow" w:cs="Arial"/>
                <w:sz w:val="20"/>
                <w:szCs w:val="20"/>
              </w:rPr>
              <w:lastRenderedPageBreak/>
              <w:t xml:space="preserve">area since 2006.   IPO administers study abroad survey tool through </w:t>
            </w:r>
            <w:proofErr w:type="spellStart"/>
            <w:r w:rsidR="002778A8">
              <w:rPr>
                <w:rFonts w:ascii="Arial Narrow" w:hAnsi="Arial Narrow" w:cs="Arial"/>
                <w:sz w:val="20"/>
                <w:szCs w:val="20"/>
              </w:rPr>
              <w:t>Qualtrics</w:t>
            </w:r>
            <w:proofErr w:type="spellEnd"/>
            <w:r w:rsidR="002778A8">
              <w:rPr>
                <w:rFonts w:ascii="Arial Narrow" w:hAnsi="Arial Narrow" w:cs="Arial"/>
                <w:sz w:val="20"/>
                <w:szCs w:val="20"/>
              </w:rPr>
              <w:t xml:space="preserve"> at the end of every semester.  Survey tool measures satisfaction with IPO staff contact and support, pre-departure orientation, quality of on-site experience and overall experience, safety</w:t>
            </w:r>
            <w:r w:rsidR="00582B02">
              <w:rPr>
                <w:rFonts w:ascii="Arial Narrow" w:hAnsi="Arial Narrow" w:cs="Arial"/>
                <w:sz w:val="20"/>
                <w:szCs w:val="20"/>
              </w:rPr>
              <w:t xml:space="preserve"> and risk management strategies </w:t>
            </w:r>
            <w:r w:rsidR="002778A8">
              <w:rPr>
                <w:rFonts w:ascii="Arial Narrow" w:hAnsi="Arial Narrow" w:cs="Arial"/>
                <w:sz w:val="20"/>
                <w:szCs w:val="20"/>
              </w:rPr>
              <w:t xml:space="preserve">and plans for incorporating study abroad experience into future career and academic programming.  </w:t>
            </w:r>
          </w:p>
          <w:p w:rsidR="00A158AB" w:rsidRDefault="00A158AB" w:rsidP="002778A8">
            <w:pPr>
              <w:rPr>
                <w:rFonts w:ascii="Arial Narrow" w:hAnsi="Arial Narrow" w:cs="Arial"/>
                <w:sz w:val="20"/>
                <w:szCs w:val="20"/>
              </w:rPr>
            </w:pPr>
          </w:p>
          <w:p w:rsidR="0046257B" w:rsidRDefault="002778A8" w:rsidP="002778A8">
            <w:pPr>
              <w:rPr>
                <w:rFonts w:ascii="Arial Narrow" w:hAnsi="Arial Narrow" w:cs="Arial"/>
                <w:sz w:val="20"/>
                <w:szCs w:val="20"/>
              </w:rPr>
            </w:pPr>
            <w:r>
              <w:rPr>
                <w:rFonts w:ascii="Arial Narrow" w:hAnsi="Arial Narrow" w:cs="Arial"/>
                <w:sz w:val="20"/>
                <w:szCs w:val="20"/>
              </w:rPr>
              <w:t xml:space="preserve">The IPO also tracks pre- and post-study abroad cumulative GPA as a </w:t>
            </w:r>
            <w:r w:rsidR="00A158AB">
              <w:rPr>
                <w:rFonts w:ascii="Arial Narrow" w:hAnsi="Arial Narrow" w:cs="Arial"/>
                <w:sz w:val="20"/>
                <w:szCs w:val="20"/>
              </w:rPr>
              <w:t xml:space="preserve">measure of academic achievement. </w:t>
            </w:r>
            <w:r>
              <w:rPr>
                <w:rFonts w:ascii="Arial Narrow" w:hAnsi="Arial Narrow" w:cs="Arial"/>
                <w:sz w:val="20"/>
                <w:szCs w:val="20"/>
              </w:rPr>
              <w:t xml:space="preserve">Survey results are compiled for review and used to improve program administration and recruiting efforts.  In addition, faculty and staff leaders submit NMU program reports at the conclusion of each faculty-led and/or volunteer-abroad program administered through the IPO.  Results </w:t>
            </w:r>
            <w:r w:rsidR="00A158AB">
              <w:rPr>
                <w:rFonts w:ascii="Arial Narrow" w:hAnsi="Arial Narrow" w:cs="Arial"/>
                <w:sz w:val="20"/>
                <w:szCs w:val="20"/>
              </w:rPr>
              <w:t xml:space="preserve">from student, faculty and staff </w:t>
            </w:r>
            <w:r w:rsidR="00C63D99">
              <w:rPr>
                <w:rFonts w:ascii="Arial Narrow" w:hAnsi="Arial Narrow" w:cs="Arial"/>
                <w:sz w:val="20"/>
                <w:szCs w:val="20"/>
              </w:rPr>
              <w:t xml:space="preserve">electronic </w:t>
            </w:r>
            <w:r w:rsidR="00A158AB">
              <w:rPr>
                <w:rFonts w:ascii="Arial Narrow" w:hAnsi="Arial Narrow" w:cs="Arial"/>
                <w:sz w:val="20"/>
                <w:szCs w:val="20"/>
              </w:rPr>
              <w:t xml:space="preserve">surveys </w:t>
            </w:r>
            <w:r>
              <w:rPr>
                <w:rFonts w:ascii="Arial Narrow" w:hAnsi="Arial Narrow" w:cs="Arial"/>
                <w:sz w:val="20"/>
                <w:szCs w:val="20"/>
              </w:rPr>
              <w:t>are shared with sponsoring academic departments and college deans and are used to enhance and improve future offerings as well as written protocols and handbooks.</w:t>
            </w:r>
          </w:p>
          <w:p w:rsidR="00A158AB" w:rsidRDefault="00A158AB" w:rsidP="002778A8">
            <w:pPr>
              <w:rPr>
                <w:rFonts w:ascii="Arial Narrow" w:hAnsi="Arial Narrow" w:cs="Arial"/>
                <w:sz w:val="20"/>
                <w:szCs w:val="20"/>
              </w:rPr>
            </w:pPr>
          </w:p>
          <w:p w:rsidR="00A158AB" w:rsidRPr="002778A8" w:rsidRDefault="00D55F9E" w:rsidP="009074A0">
            <w:pPr>
              <w:rPr>
                <w:rFonts w:ascii="Arial Narrow" w:hAnsi="Arial Narrow" w:cs="Arial"/>
                <w:sz w:val="20"/>
                <w:szCs w:val="20"/>
              </w:rPr>
            </w:pPr>
            <w:r>
              <w:rPr>
                <w:rFonts w:ascii="Arial Narrow" w:hAnsi="Arial Narrow" w:cs="Arial"/>
                <w:color w:val="FF0000"/>
                <w:sz w:val="20"/>
                <w:szCs w:val="20"/>
              </w:rPr>
              <w:t xml:space="preserve"> </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F13C94" w:rsidRPr="00F13C94" w:rsidRDefault="00F13C94" w:rsidP="00342B94">
            <w:pPr>
              <w:rPr>
                <w:rFonts w:ascii="Arial Narrow" w:hAnsi="Arial Narrow"/>
                <w:sz w:val="20"/>
                <w:szCs w:val="20"/>
              </w:rPr>
            </w:pPr>
            <w:r>
              <w:rPr>
                <w:rFonts w:ascii="Arial Narrow" w:hAnsi="Arial Narrow"/>
                <w:sz w:val="20"/>
                <w:szCs w:val="20"/>
              </w:rPr>
              <w:t xml:space="preserve">Objective was met.  Enrollment and participation in programs was reported consistently through Open Doors Surveys, </w:t>
            </w:r>
            <w:r w:rsidR="00342B94">
              <w:rPr>
                <w:rFonts w:ascii="Arial Narrow" w:hAnsi="Arial Narrow"/>
                <w:sz w:val="20"/>
                <w:szCs w:val="20"/>
              </w:rPr>
              <w:t xml:space="preserve">on-line student record systems (Banner), </w:t>
            </w:r>
            <w:r>
              <w:rPr>
                <w:rFonts w:ascii="Arial Narrow" w:hAnsi="Arial Narrow"/>
                <w:sz w:val="20"/>
                <w:szCs w:val="20"/>
              </w:rPr>
              <w:t>faculty leader reports, and on-line student evaluation tools.  A baseline that includes all categories of enrollment/part</w:t>
            </w:r>
            <w:r w:rsidR="00342B94">
              <w:rPr>
                <w:rFonts w:ascii="Arial Narrow" w:hAnsi="Arial Narrow"/>
                <w:sz w:val="20"/>
                <w:szCs w:val="20"/>
              </w:rPr>
              <w:t>icipation has been established and incorporates a new international student enrollment reporting system, linked to the university’s Banner on-line record management system.</w:t>
            </w:r>
            <w:r>
              <w:rPr>
                <w:rFonts w:ascii="Arial Narrow" w:hAnsi="Arial Narrow"/>
                <w:sz w:val="20"/>
                <w:szCs w:val="20"/>
              </w:rPr>
              <w:t xml:space="preserve"> Peer institution figures are available in the Open Doors Annual Reports filed at the International Programs office. </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342B94" w:rsidRDefault="00F13C94" w:rsidP="00972106">
            <w:pPr>
              <w:rPr>
                <w:rFonts w:ascii="Arial Narrow" w:hAnsi="Arial Narrow"/>
                <w:sz w:val="20"/>
                <w:szCs w:val="20"/>
              </w:rPr>
            </w:pPr>
            <w:r w:rsidRPr="00342B94">
              <w:rPr>
                <w:rFonts w:ascii="Arial Narrow" w:hAnsi="Arial Narrow"/>
                <w:sz w:val="20"/>
                <w:szCs w:val="20"/>
              </w:rPr>
              <w:t>1a)</w:t>
            </w:r>
            <w:r w:rsidR="00342B94" w:rsidRPr="00342B94">
              <w:rPr>
                <w:rFonts w:ascii="Arial Narrow" w:hAnsi="Arial Narrow"/>
                <w:sz w:val="20"/>
                <w:szCs w:val="20"/>
              </w:rPr>
              <w:t xml:space="preserve"> Open Doors survey and enrollment statistics were collected via databases and reported in the on-line tool. The </w:t>
            </w:r>
            <w:proofErr w:type="spellStart"/>
            <w:r w:rsidR="00342B94" w:rsidRPr="00342B94">
              <w:rPr>
                <w:rFonts w:ascii="Arial Narrow" w:hAnsi="Arial Narrow"/>
                <w:sz w:val="20"/>
                <w:szCs w:val="20"/>
              </w:rPr>
              <w:t>Qualtrics</w:t>
            </w:r>
            <w:proofErr w:type="spellEnd"/>
            <w:r w:rsidR="00342B94" w:rsidRPr="00342B94">
              <w:rPr>
                <w:rFonts w:ascii="Arial Narrow" w:hAnsi="Arial Narrow"/>
                <w:sz w:val="20"/>
                <w:szCs w:val="20"/>
              </w:rPr>
              <w:t xml:space="preserve"> enrollment decision tool was not developed due to changes in departmental staffing and responsibilities. </w:t>
            </w:r>
            <w:r w:rsidR="00342B94">
              <w:rPr>
                <w:rFonts w:ascii="Arial Narrow" w:hAnsi="Arial Narrow"/>
                <w:sz w:val="20"/>
                <w:szCs w:val="20"/>
              </w:rPr>
              <w:t xml:space="preserve"> Informal paper-based data were collected from admitted exchange students only. </w:t>
            </w:r>
            <w:r w:rsidR="00342B94" w:rsidRPr="00342B94">
              <w:rPr>
                <w:rFonts w:ascii="Arial Narrow" w:hAnsi="Arial Narrow"/>
                <w:sz w:val="20"/>
                <w:szCs w:val="20"/>
              </w:rPr>
              <w:t>Th</w:t>
            </w:r>
            <w:r w:rsidR="00342B94">
              <w:rPr>
                <w:rFonts w:ascii="Arial Narrow" w:hAnsi="Arial Narrow"/>
                <w:sz w:val="20"/>
                <w:szCs w:val="20"/>
              </w:rPr>
              <w:t>e online evaluation tool</w:t>
            </w:r>
            <w:r w:rsidR="00342B94" w:rsidRPr="00342B94">
              <w:rPr>
                <w:rFonts w:ascii="Arial Narrow" w:hAnsi="Arial Narrow"/>
                <w:sz w:val="20"/>
                <w:szCs w:val="20"/>
              </w:rPr>
              <w:t xml:space="preserve"> will be incorporated into departmental goals for 2012-13.</w:t>
            </w:r>
          </w:p>
          <w:p w:rsidR="00342B94" w:rsidRPr="00342B94" w:rsidRDefault="00342B94" w:rsidP="00342B94">
            <w:pPr>
              <w:rPr>
                <w:rFonts w:ascii="Arial Narrow" w:hAnsi="Arial Narrow"/>
                <w:sz w:val="20"/>
                <w:szCs w:val="20"/>
              </w:rPr>
            </w:pPr>
            <w:r w:rsidRPr="00342B94">
              <w:rPr>
                <w:rFonts w:ascii="Arial Narrow" w:hAnsi="Arial Narrow"/>
                <w:sz w:val="20"/>
                <w:szCs w:val="20"/>
              </w:rPr>
              <w:t>1b) Open Doors survey and enrollment statistics for study abro</w:t>
            </w:r>
            <w:r w:rsidR="00AA3C28">
              <w:rPr>
                <w:rFonts w:ascii="Arial Narrow" w:hAnsi="Arial Narrow"/>
                <w:sz w:val="20"/>
                <w:szCs w:val="20"/>
              </w:rPr>
              <w:t xml:space="preserve">ad were collected and submitted, however, analysis of GPA outcomes was not carried out. </w:t>
            </w:r>
            <w:r w:rsidRPr="00342B94">
              <w:rPr>
                <w:rFonts w:ascii="Arial Narrow" w:hAnsi="Arial Narrow"/>
                <w:sz w:val="20"/>
                <w:szCs w:val="20"/>
              </w:rPr>
              <w:t xml:space="preserve"> </w:t>
            </w:r>
            <w:proofErr w:type="spellStart"/>
            <w:r w:rsidRPr="00342B94">
              <w:rPr>
                <w:rFonts w:ascii="Arial Narrow" w:hAnsi="Arial Narrow"/>
                <w:sz w:val="20"/>
                <w:szCs w:val="20"/>
              </w:rPr>
              <w:t>Qualtrics</w:t>
            </w:r>
            <w:proofErr w:type="spellEnd"/>
            <w:r w:rsidRPr="00342B94">
              <w:rPr>
                <w:rFonts w:ascii="Arial Narrow" w:hAnsi="Arial Narrow"/>
                <w:sz w:val="20"/>
                <w:szCs w:val="20"/>
              </w:rPr>
              <w:t xml:space="preserve"> survey tools were not administered due to shifts in departmental staffing and responsibilities.  A proprietary online survey tool that includes analytical tools </w:t>
            </w:r>
            <w:r>
              <w:rPr>
                <w:rFonts w:ascii="Arial Narrow" w:hAnsi="Arial Narrow"/>
                <w:sz w:val="20"/>
                <w:szCs w:val="20"/>
              </w:rPr>
              <w:t>(</w:t>
            </w:r>
            <w:r w:rsidRPr="00342B94">
              <w:rPr>
                <w:rFonts w:ascii="Arial Narrow" w:hAnsi="Arial Narrow"/>
                <w:i/>
                <w:sz w:val="20"/>
                <w:szCs w:val="20"/>
              </w:rPr>
              <w:t>Abroad 101</w:t>
            </w:r>
            <w:r>
              <w:rPr>
                <w:rFonts w:ascii="Arial Narrow" w:hAnsi="Arial Narrow"/>
                <w:sz w:val="20"/>
                <w:szCs w:val="20"/>
              </w:rPr>
              <w:t xml:space="preserve">) </w:t>
            </w:r>
            <w:r w:rsidRPr="00342B94">
              <w:rPr>
                <w:rFonts w:ascii="Arial Narrow" w:hAnsi="Arial Narrow"/>
                <w:sz w:val="20"/>
                <w:szCs w:val="20"/>
              </w:rPr>
              <w:t>will be implemented as part of the department’s 2012-13 goals.</w:t>
            </w:r>
          </w:p>
          <w:p w:rsidR="00342B94" w:rsidRPr="009860CD" w:rsidRDefault="00342B94" w:rsidP="00342B94">
            <w:pPr>
              <w:rPr>
                <w:rFonts w:ascii="Arial Narrow" w:hAnsi="Arial Narrow"/>
              </w:rPr>
            </w:pPr>
            <w:r w:rsidRPr="00342B94">
              <w:rPr>
                <w:rFonts w:ascii="Arial Narrow" w:hAnsi="Arial Narrow"/>
                <w:sz w:val="20"/>
                <w:szCs w:val="20"/>
              </w:rPr>
              <w:t xml:space="preserve">     Faculty </w:t>
            </w:r>
            <w:proofErr w:type="gramStart"/>
            <w:r w:rsidRPr="00342B94">
              <w:rPr>
                <w:rFonts w:ascii="Arial Narrow" w:hAnsi="Arial Narrow"/>
                <w:sz w:val="20"/>
                <w:szCs w:val="20"/>
              </w:rPr>
              <w:t>leaders</w:t>
            </w:r>
            <w:proofErr w:type="gramEnd"/>
            <w:r w:rsidRPr="00342B94">
              <w:rPr>
                <w:rFonts w:ascii="Arial Narrow" w:hAnsi="Arial Narrow"/>
                <w:sz w:val="20"/>
                <w:szCs w:val="20"/>
              </w:rPr>
              <w:t xml:space="preserve"> reports were collected and distributed to sponsoring academic departments and college deans and will be used to enhance future offerings.</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635922" w:rsidRPr="00635922" w:rsidRDefault="007C53D1" w:rsidP="00635922">
            <w:pPr>
              <w:rPr>
                <w:rFonts w:ascii="Arial Narrow" w:hAnsi="Arial Narrow"/>
              </w:rPr>
            </w:pPr>
            <w:proofErr w:type="gramStart"/>
            <w:r w:rsidRPr="009860CD">
              <w:rPr>
                <w:rFonts w:ascii="Arial Narrow" w:hAnsi="Arial Narrow"/>
                <w:i/>
                <w:sz w:val="22"/>
                <w:szCs w:val="22"/>
              </w:rPr>
              <w:lastRenderedPageBreak/>
              <w:t>Objective</w:t>
            </w:r>
            <w:r w:rsidRPr="009860CD">
              <w:rPr>
                <w:rFonts w:ascii="Arial Narrow" w:hAnsi="Arial Narrow"/>
                <w:sz w:val="22"/>
                <w:szCs w:val="22"/>
              </w:rPr>
              <w:t xml:space="preserve"> :</w:t>
            </w:r>
            <w:proofErr w:type="gramEnd"/>
            <w:r w:rsidR="00635922">
              <w:rPr>
                <w:rFonts w:ascii="Arial Narrow" w:hAnsi="Arial Narrow"/>
                <w:sz w:val="22"/>
                <w:szCs w:val="22"/>
              </w:rPr>
              <w:t xml:space="preserve"> </w:t>
            </w:r>
            <w:r w:rsidR="0046257B">
              <w:rPr>
                <w:rFonts w:ascii="Arial Narrow" w:hAnsi="Arial Narrow"/>
                <w:sz w:val="22"/>
                <w:szCs w:val="22"/>
              </w:rPr>
              <w:t xml:space="preserve"> Increase international student enrollment by implementing an effective recruiting and marketing plan, targeting retention at 20% above baseline enrollment in 2012 and 2013.” </w:t>
            </w:r>
          </w:p>
          <w:p w:rsidR="007C53D1" w:rsidRPr="009860CD" w:rsidRDefault="007C53D1"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635922"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Pr>
                <w:rFonts w:ascii="Arial Narrow" w:hAnsi="Arial Narrow"/>
                <w:sz w:val="22"/>
                <w:szCs w:val="22"/>
                <w:u w:val="single"/>
              </w:rPr>
              <w:t xml:space="preserve">X </w:t>
            </w:r>
            <w:r w:rsidR="007C53D1" w:rsidRPr="009860CD">
              <w:rPr>
                <w:rFonts w:ascii="Arial Narrow" w:hAnsi="Arial Narrow"/>
                <w:sz w:val="22"/>
                <w:szCs w:val="22"/>
              </w:rPr>
              <w:t xml:space="preserve">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00635922">
              <w:rPr>
                <w:rFonts w:ascii="Arial Narrow" w:hAnsi="Arial Narrow"/>
                <w:sz w:val="22"/>
                <w:szCs w:val="22"/>
                <w:u w:val="single"/>
              </w:rPr>
              <w:t>X</w:t>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635922">
              <w:rPr>
                <w:rFonts w:ascii="Arial Narrow" w:hAnsi="Arial Narrow"/>
                <w:sz w:val="22"/>
                <w:szCs w:val="22"/>
              </w:rPr>
              <w:t>Yes.  ML-1, ML-2, CA-2, CA-4, CE-1, CE-3</w:t>
            </w:r>
          </w:p>
          <w:p w:rsidR="00091C4B" w:rsidRDefault="00091C4B" w:rsidP="0036346B">
            <w:pPr>
              <w:rPr>
                <w:rFonts w:ascii="Arial Narrow" w:hAnsi="Arial Narrow"/>
                <w:color w:val="FF0000"/>
              </w:rPr>
            </w:pPr>
          </w:p>
          <w:p w:rsidR="005D4059" w:rsidRDefault="005D4059" w:rsidP="0036346B">
            <w:pPr>
              <w:rPr>
                <w:rFonts w:ascii="Arial Narrow" w:hAnsi="Arial Narrow"/>
                <w:color w:val="FF0000"/>
              </w:rPr>
            </w:pPr>
          </w:p>
          <w:p w:rsidR="005D4059" w:rsidRPr="00D55F9E" w:rsidRDefault="005D4059" w:rsidP="0036346B">
            <w:pPr>
              <w:rPr>
                <w:rFonts w:ascii="Arial Narrow" w:hAnsi="Arial Narrow"/>
                <w:color w:val="FF0000"/>
              </w:rPr>
            </w:pPr>
            <w:r>
              <w:rPr>
                <w:rFonts w:ascii="Arial Narrow" w:hAnsi="Arial Narrow"/>
                <w:color w:val="FF0000"/>
              </w:rPr>
              <w:t>SS</w:t>
            </w: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635922" w:rsidRPr="00582B02" w:rsidRDefault="00635922" w:rsidP="00635922">
            <w:pPr>
              <w:pStyle w:val="Default"/>
              <w:rPr>
                <w:rFonts w:ascii="Arial Narrow" w:hAnsi="Arial Narrow" w:cs="Arial"/>
                <w:sz w:val="20"/>
                <w:szCs w:val="20"/>
              </w:rPr>
            </w:pPr>
            <w:r w:rsidRPr="00582B02">
              <w:rPr>
                <w:rFonts w:ascii="Arial Narrow" w:hAnsi="Arial Narrow" w:cs="Arial"/>
                <w:sz w:val="20"/>
                <w:szCs w:val="20"/>
              </w:rPr>
              <w:t>a. Identify IPO staff and campus constituents</w:t>
            </w:r>
            <w:r>
              <w:rPr>
                <w:rFonts w:ascii="Arial Narrow" w:hAnsi="Arial Narrow" w:cs="Arial"/>
                <w:sz w:val="20"/>
                <w:szCs w:val="20"/>
              </w:rPr>
              <w:t xml:space="preserve"> to comprise project team</w:t>
            </w:r>
            <w:r w:rsidR="002C778A">
              <w:rPr>
                <w:rFonts w:ascii="Arial Narrow" w:hAnsi="Arial Narrow" w:cs="Arial"/>
                <w:sz w:val="20"/>
                <w:szCs w:val="20"/>
              </w:rPr>
              <w:t xml:space="preserve">, </w:t>
            </w:r>
            <w:r w:rsidR="002C778A" w:rsidRPr="00582B02">
              <w:rPr>
                <w:rFonts w:ascii="Arial Narrow" w:hAnsi="Arial Narrow" w:cs="Arial"/>
                <w:sz w:val="20"/>
                <w:szCs w:val="20"/>
              </w:rPr>
              <w:t>by</w:t>
            </w:r>
            <w:r w:rsidRPr="00582B02">
              <w:rPr>
                <w:rFonts w:ascii="Arial Narrow" w:hAnsi="Arial Narrow" w:cs="Arial"/>
                <w:sz w:val="20"/>
                <w:szCs w:val="20"/>
              </w:rPr>
              <w:t xml:space="preserve"> September</w:t>
            </w:r>
            <w:r>
              <w:rPr>
                <w:rFonts w:ascii="Arial Narrow" w:hAnsi="Arial Narrow" w:cs="Arial"/>
                <w:sz w:val="20"/>
                <w:szCs w:val="20"/>
              </w:rPr>
              <w:t xml:space="preserve"> 1</w:t>
            </w:r>
            <w:r w:rsidR="002C778A">
              <w:rPr>
                <w:rFonts w:ascii="Arial Narrow" w:hAnsi="Arial Narrow" w:cs="Arial"/>
                <w:sz w:val="20"/>
                <w:szCs w:val="20"/>
              </w:rPr>
              <w:t xml:space="preserve">, </w:t>
            </w:r>
            <w:r w:rsidR="002C778A" w:rsidRPr="00582B02">
              <w:rPr>
                <w:rFonts w:ascii="Arial Narrow" w:hAnsi="Arial Narrow" w:cs="Arial"/>
                <w:sz w:val="20"/>
                <w:szCs w:val="20"/>
              </w:rPr>
              <w:t>2011</w:t>
            </w:r>
            <w:r w:rsidRPr="00582B02">
              <w:rPr>
                <w:rFonts w:ascii="Arial Narrow" w:hAnsi="Arial Narrow" w:cs="Arial"/>
                <w:sz w:val="20"/>
                <w:szCs w:val="20"/>
              </w:rPr>
              <w:t>.</w:t>
            </w:r>
          </w:p>
          <w:p w:rsidR="00635922" w:rsidRPr="00582B02" w:rsidRDefault="00635922" w:rsidP="00635922">
            <w:pPr>
              <w:pStyle w:val="Default"/>
              <w:rPr>
                <w:rFonts w:ascii="Arial Narrow" w:hAnsi="Arial Narrow" w:cs="Arial"/>
                <w:sz w:val="20"/>
                <w:szCs w:val="20"/>
              </w:rPr>
            </w:pPr>
            <w:r w:rsidRPr="00582B02">
              <w:rPr>
                <w:rFonts w:ascii="Arial Narrow" w:hAnsi="Arial Narrow" w:cs="Arial"/>
                <w:sz w:val="20"/>
                <w:szCs w:val="20"/>
              </w:rPr>
              <w:t xml:space="preserve">b. </w:t>
            </w:r>
            <w:r>
              <w:rPr>
                <w:rFonts w:ascii="Arial Narrow" w:hAnsi="Arial Narrow" w:cs="Arial"/>
                <w:sz w:val="20"/>
                <w:szCs w:val="20"/>
              </w:rPr>
              <w:t>Schedule project team meetings, September 2011-April 2012, and assign individual areas of responsibility by October 1, 2011.</w:t>
            </w:r>
          </w:p>
          <w:p w:rsidR="00635922" w:rsidRDefault="00635922" w:rsidP="00635922">
            <w:pPr>
              <w:pStyle w:val="Default"/>
              <w:rPr>
                <w:rFonts w:ascii="Arial Narrow" w:hAnsi="Arial Narrow" w:cs="Arial"/>
                <w:sz w:val="20"/>
                <w:szCs w:val="20"/>
              </w:rPr>
            </w:pPr>
            <w:r w:rsidRPr="00582B02">
              <w:rPr>
                <w:rFonts w:ascii="Arial Narrow" w:hAnsi="Arial Narrow" w:cs="Arial"/>
                <w:sz w:val="20"/>
                <w:szCs w:val="20"/>
              </w:rPr>
              <w:t xml:space="preserve">c. </w:t>
            </w:r>
            <w:r>
              <w:rPr>
                <w:rFonts w:ascii="Arial Narrow" w:hAnsi="Arial Narrow" w:cs="Arial"/>
                <w:sz w:val="20"/>
                <w:szCs w:val="20"/>
              </w:rPr>
              <w:t>The review team will meet at least monthly and develop a written plan to indicate desirable marketing strategies and resources, with recommendations for financial support</w:t>
            </w:r>
            <w:r w:rsidR="00C63D99">
              <w:rPr>
                <w:rFonts w:ascii="Arial Narrow" w:hAnsi="Arial Narrow" w:cs="Arial"/>
                <w:sz w:val="20"/>
                <w:szCs w:val="20"/>
              </w:rPr>
              <w:t xml:space="preserve"> and professional consultant services</w:t>
            </w:r>
            <w:r>
              <w:rPr>
                <w:rFonts w:ascii="Arial Narrow" w:hAnsi="Arial Narrow" w:cs="Arial"/>
                <w:sz w:val="20"/>
                <w:szCs w:val="20"/>
              </w:rPr>
              <w:t xml:space="preserve">, and present a written plan to the </w:t>
            </w:r>
            <w:r w:rsidR="002C778A">
              <w:rPr>
                <w:rFonts w:ascii="Arial Narrow" w:hAnsi="Arial Narrow" w:cs="Arial"/>
                <w:sz w:val="20"/>
                <w:szCs w:val="20"/>
              </w:rPr>
              <w:t>Dean</w:t>
            </w:r>
            <w:r>
              <w:rPr>
                <w:rFonts w:ascii="Arial Narrow" w:hAnsi="Arial Narrow" w:cs="Arial"/>
                <w:sz w:val="20"/>
                <w:szCs w:val="20"/>
              </w:rPr>
              <w:t xml:space="preserve"> of International Programs by May 1, 2012.  </w:t>
            </w:r>
            <w:r>
              <w:rPr>
                <w:rFonts w:ascii="Arial Narrow" w:hAnsi="Arial Narrow" w:cs="Arial"/>
                <w:sz w:val="20"/>
                <w:szCs w:val="20"/>
              </w:rPr>
              <w:br/>
              <w:t xml:space="preserve">d. The IPO team members will </w:t>
            </w:r>
            <w:r w:rsidR="00C63D99">
              <w:rPr>
                <w:rFonts w:ascii="Arial Narrow" w:hAnsi="Arial Narrow" w:cs="Arial"/>
                <w:sz w:val="20"/>
                <w:szCs w:val="20"/>
              </w:rPr>
              <w:t xml:space="preserve">continue to </w:t>
            </w:r>
            <w:r w:rsidR="00206144">
              <w:rPr>
                <w:rFonts w:ascii="Arial Narrow" w:hAnsi="Arial Narrow" w:cs="Arial"/>
                <w:sz w:val="20"/>
                <w:szCs w:val="20"/>
              </w:rPr>
              <w:t>i</w:t>
            </w:r>
            <w:r w:rsidR="00C63D99">
              <w:rPr>
                <w:rFonts w:ascii="Arial Narrow" w:hAnsi="Arial Narrow" w:cs="Arial"/>
                <w:sz w:val="20"/>
                <w:szCs w:val="20"/>
              </w:rPr>
              <w:t>mplement new M</w:t>
            </w:r>
            <w:r w:rsidR="0046257B">
              <w:rPr>
                <w:rFonts w:ascii="Arial Narrow" w:hAnsi="Arial Narrow" w:cs="Arial"/>
                <w:sz w:val="20"/>
                <w:szCs w:val="20"/>
              </w:rPr>
              <w:t>emorandum of Understanding</w:t>
            </w:r>
            <w:r w:rsidR="006365BE">
              <w:rPr>
                <w:rFonts w:ascii="Arial Narrow" w:hAnsi="Arial Narrow" w:cs="Arial"/>
                <w:sz w:val="20"/>
                <w:szCs w:val="20"/>
              </w:rPr>
              <w:t xml:space="preserve"> </w:t>
            </w:r>
            <w:r w:rsidR="00C63D99">
              <w:rPr>
                <w:rFonts w:ascii="Arial Narrow" w:hAnsi="Arial Narrow" w:cs="Arial"/>
                <w:sz w:val="20"/>
                <w:szCs w:val="20"/>
              </w:rPr>
              <w:t xml:space="preserve">and agent contracts, </w:t>
            </w:r>
            <w:r>
              <w:rPr>
                <w:rFonts w:ascii="Arial Narrow" w:hAnsi="Arial Narrow" w:cs="Arial"/>
                <w:sz w:val="20"/>
                <w:szCs w:val="20"/>
              </w:rPr>
              <w:t xml:space="preserve">attend recruiting fairs, </w:t>
            </w:r>
            <w:proofErr w:type="spellStart"/>
            <w:r>
              <w:rPr>
                <w:rFonts w:ascii="Arial Narrow" w:hAnsi="Arial Narrow" w:cs="Arial"/>
                <w:sz w:val="20"/>
                <w:szCs w:val="20"/>
              </w:rPr>
              <w:t>EdUSA</w:t>
            </w:r>
            <w:proofErr w:type="spellEnd"/>
            <w:r>
              <w:rPr>
                <w:rFonts w:ascii="Arial Narrow" w:hAnsi="Arial Narrow" w:cs="Arial"/>
                <w:sz w:val="20"/>
                <w:szCs w:val="20"/>
              </w:rPr>
              <w:t xml:space="preserve"> events</w:t>
            </w:r>
            <w:r w:rsidR="002C778A">
              <w:rPr>
                <w:rFonts w:ascii="Arial Narrow" w:hAnsi="Arial Narrow" w:cs="Arial"/>
                <w:sz w:val="20"/>
                <w:szCs w:val="20"/>
              </w:rPr>
              <w:t>, and</w:t>
            </w:r>
            <w:r>
              <w:rPr>
                <w:rFonts w:ascii="Arial Narrow" w:hAnsi="Arial Narrow" w:cs="Arial"/>
                <w:sz w:val="20"/>
                <w:szCs w:val="20"/>
              </w:rPr>
              <w:t xml:space="preserve"> develop electronic recruiting materials </w:t>
            </w:r>
            <w:r w:rsidR="00C63D99">
              <w:rPr>
                <w:rFonts w:ascii="Arial Narrow" w:hAnsi="Arial Narrow" w:cs="Arial"/>
                <w:sz w:val="20"/>
                <w:szCs w:val="20"/>
              </w:rPr>
              <w:t>from July 2011-February 2012 with a target</w:t>
            </w:r>
            <w:r>
              <w:rPr>
                <w:rFonts w:ascii="Arial Narrow" w:hAnsi="Arial Narrow" w:cs="Arial"/>
                <w:sz w:val="20"/>
                <w:szCs w:val="20"/>
              </w:rPr>
              <w:t xml:space="preserve"> enroll</w:t>
            </w:r>
            <w:r w:rsidR="0046257B">
              <w:rPr>
                <w:rFonts w:ascii="Arial Narrow" w:hAnsi="Arial Narrow" w:cs="Arial"/>
                <w:sz w:val="20"/>
                <w:szCs w:val="20"/>
              </w:rPr>
              <w:t>ment of 25 to 4</w:t>
            </w:r>
            <w:r w:rsidR="00C63D99">
              <w:rPr>
                <w:rFonts w:ascii="Arial Narrow" w:hAnsi="Arial Narrow" w:cs="Arial"/>
                <w:sz w:val="20"/>
                <w:szCs w:val="20"/>
              </w:rPr>
              <w:t>0</w:t>
            </w:r>
            <w:r w:rsidR="002C778A">
              <w:rPr>
                <w:rFonts w:ascii="Arial Narrow" w:hAnsi="Arial Narrow" w:cs="Arial"/>
                <w:sz w:val="20"/>
                <w:szCs w:val="20"/>
              </w:rPr>
              <w:t xml:space="preserve"> new</w:t>
            </w:r>
            <w:r w:rsidR="00C63D99">
              <w:rPr>
                <w:rFonts w:ascii="Arial Narrow" w:hAnsi="Arial Narrow" w:cs="Arial"/>
                <w:sz w:val="20"/>
                <w:szCs w:val="20"/>
              </w:rPr>
              <w:t xml:space="preserve"> first-time</w:t>
            </w:r>
            <w:r>
              <w:rPr>
                <w:rFonts w:ascii="Arial Narrow" w:hAnsi="Arial Narrow" w:cs="Arial"/>
                <w:sz w:val="20"/>
                <w:szCs w:val="20"/>
              </w:rPr>
              <w:t xml:space="preserve"> international students by Fall 2012.</w:t>
            </w:r>
          </w:p>
          <w:p w:rsidR="00635922" w:rsidRDefault="002C778A" w:rsidP="00635922">
            <w:pPr>
              <w:pStyle w:val="Default"/>
              <w:rPr>
                <w:rFonts w:ascii="Arial Narrow" w:hAnsi="Arial Narrow" w:cs="Arial"/>
                <w:sz w:val="20"/>
                <w:szCs w:val="20"/>
              </w:rPr>
            </w:pPr>
            <w:r>
              <w:rPr>
                <w:rFonts w:ascii="Arial Narrow" w:hAnsi="Arial Narrow" w:cs="Arial"/>
                <w:sz w:val="20"/>
                <w:szCs w:val="20"/>
              </w:rPr>
              <w:t>e. The</w:t>
            </w:r>
            <w:r w:rsidR="00635922">
              <w:rPr>
                <w:rFonts w:ascii="Arial Narrow" w:hAnsi="Arial Narrow" w:cs="Arial"/>
                <w:sz w:val="20"/>
                <w:szCs w:val="20"/>
              </w:rPr>
              <w:t xml:space="preserve"> IPO team members will develop an enhanced new international student orientation program and buddy program to pilot with </w:t>
            </w:r>
            <w:r w:rsidR="0046257B">
              <w:rPr>
                <w:rFonts w:ascii="Arial Narrow" w:hAnsi="Arial Narrow" w:cs="Arial"/>
                <w:sz w:val="20"/>
                <w:szCs w:val="20"/>
              </w:rPr>
              <w:t>25-40</w:t>
            </w:r>
            <w:r w:rsidR="00635922">
              <w:rPr>
                <w:rFonts w:ascii="Arial Narrow" w:hAnsi="Arial Narrow" w:cs="Arial"/>
                <w:sz w:val="20"/>
                <w:szCs w:val="20"/>
              </w:rPr>
              <w:t xml:space="preserve"> new international students, August 2011.   Results will be used to further develop and improve sustainable orientation and retention practices with a target enrollment of </w:t>
            </w:r>
            <w:r w:rsidR="0046257B">
              <w:rPr>
                <w:rFonts w:ascii="Arial Narrow" w:hAnsi="Arial Narrow" w:cs="Arial"/>
                <w:sz w:val="20"/>
                <w:szCs w:val="20"/>
              </w:rPr>
              <w:t>25 to 4</w:t>
            </w:r>
            <w:r w:rsidR="00635922">
              <w:rPr>
                <w:rFonts w:ascii="Arial Narrow" w:hAnsi="Arial Narrow" w:cs="Arial"/>
                <w:sz w:val="20"/>
                <w:szCs w:val="20"/>
              </w:rPr>
              <w:t xml:space="preserve">0 new students in fall/winter 2012, 2013.   Topics will include immigration requirements and benefits, university and community resources, orientation to cultural and </w:t>
            </w:r>
            <w:r w:rsidR="00635922">
              <w:rPr>
                <w:rFonts w:ascii="Arial Narrow" w:hAnsi="Arial Narrow" w:cs="Arial"/>
                <w:sz w:val="20"/>
                <w:szCs w:val="20"/>
              </w:rPr>
              <w:lastRenderedPageBreak/>
              <w:t>educational practices in the US, and enrollment in international buddy program, matching international students with domestic students.</w:t>
            </w:r>
          </w:p>
          <w:p w:rsidR="00635922" w:rsidRPr="00582B02" w:rsidRDefault="00635922" w:rsidP="00635922">
            <w:pPr>
              <w:pStyle w:val="Default"/>
              <w:rPr>
                <w:rFonts w:ascii="Arial Narrow" w:hAnsi="Arial Narrow" w:cs="Arial"/>
                <w:sz w:val="20"/>
                <w:szCs w:val="20"/>
              </w:rPr>
            </w:pPr>
            <w:r>
              <w:rPr>
                <w:rFonts w:ascii="Arial Narrow" w:hAnsi="Arial Narrow" w:cs="Arial"/>
                <w:sz w:val="20"/>
                <w:szCs w:val="20"/>
              </w:rPr>
              <w:t>f. Student enrollment decisions, immigration challenges, and satisfaction with university support/experience will be tracked through electronic entry and exit surveys, beginning August 2011 and continuing each successive semester.  Annual enrollment statistics will be reported through IIE’s annual Open Doors Survey.  The university will consider data collected through the annual Open Doors report for comparison with peer institutions and adjust recruitment and retention strategies as indicated.</w:t>
            </w:r>
          </w:p>
          <w:p w:rsidR="007C53D1" w:rsidRPr="009860CD" w:rsidRDefault="007C53D1"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r w:rsidR="002C778A" w:rsidRPr="009860CD">
              <w:rPr>
                <w:rFonts w:ascii="Arial Narrow" w:hAnsi="Arial Narrow" w:cs="Arial"/>
                <w:i/>
                <w:sz w:val="22"/>
                <w:szCs w:val="22"/>
              </w:rPr>
              <w:t>are the desired and/or minimum target criteria</w:t>
            </w:r>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824F9B" w:rsidRDefault="00824F9B" w:rsidP="00824F9B">
            <w:pPr>
              <w:pStyle w:val="Default"/>
              <w:rPr>
                <w:rFonts w:ascii="Arial Narrow" w:hAnsi="Arial Narrow"/>
                <w:sz w:val="22"/>
                <w:szCs w:val="22"/>
              </w:rPr>
            </w:pPr>
          </w:p>
          <w:p w:rsidR="00635922" w:rsidRDefault="00635922" w:rsidP="00635922">
            <w:pPr>
              <w:pStyle w:val="Default"/>
              <w:rPr>
                <w:rFonts w:ascii="Arial Narrow" w:hAnsi="Arial Narrow"/>
                <w:sz w:val="20"/>
                <w:szCs w:val="20"/>
              </w:rPr>
            </w:pPr>
            <w:r w:rsidRPr="00635922">
              <w:rPr>
                <w:rFonts w:ascii="Arial Narrow" w:hAnsi="Arial Narrow"/>
                <w:sz w:val="20"/>
                <w:szCs w:val="20"/>
              </w:rPr>
              <w:t xml:space="preserve">Web usage counts will be provided by the NMU webmaster to track effectiveness of electronic marketing strategies.  IPO staff and recruiters will provide contact counts for each event.    A goal is to reach a </w:t>
            </w:r>
            <w:r w:rsidRPr="001E0992">
              <w:rPr>
                <w:rFonts w:ascii="Arial Narrow" w:hAnsi="Arial Narrow"/>
                <w:i/>
                <w:sz w:val="20"/>
                <w:szCs w:val="20"/>
              </w:rPr>
              <w:t>minimum</w:t>
            </w:r>
            <w:r w:rsidRPr="00635922">
              <w:rPr>
                <w:rFonts w:ascii="Arial Narrow" w:hAnsi="Arial Narrow"/>
                <w:sz w:val="20"/>
                <w:szCs w:val="20"/>
              </w:rPr>
              <w:t xml:space="preserve"> sust</w:t>
            </w:r>
            <w:r w:rsidR="002C778A">
              <w:rPr>
                <w:rFonts w:ascii="Arial Narrow" w:hAnsi="Arial Narrow"/>
                <w:sz w:val="20"/>
                <w:szCs w:val="20"/>
              </w:rPr>
              <w:t xml:space="preserve">ainable international student </w:t>
            </w:r>
            <w:r w:rsidRPr="00635922">
              <w:rPr>
                <w:rFonts w:ascii="Arial Narrow" w:hAnsi="Arial Narrow"/>
                <w:sz w:val="20"/>
                <w:szCs w:val="20"/>
              </w:rPr>
              <w:t>population of 150 enrolled students each year, beginning in Fall 2012.</w:t>
            </w:r>
          </w:p>
          <w:p w:rsidR="00EA6937" w:rsidRDefault="00EA6937" w:rsidP="00635922">
            <w:pPr>
              <w:pStyle w:val="Default"/>
              <w:rPr>
                <w:rFonts w:ascii="Arial Narrow" w:hAnsi="Arial Narrow"/>
                <w:color w:val="FF0000"/>
                <w:sz w:val="20"/>
                <w:szCs w:val="20"/>
              </w:rPr>
            </w:pPr>
          </w:p>
          <w:p w:rsidR="00635922" w:rsidRPr="005D4059" w:rsidRDefault="005D4059" w:rsidP="006365BE">
            <w:pPr>
              <w:pStyle w:val="Default"/>
              <w:rPr>
                <w:rFonts w:ascii="Arial Narrow" w:hAnsi="Arial Narrow"/>
                <w:color w:val="FF0000"/>
                <w:sz w:val="22"/>
                <w:szCs w:val="22"/>
              </w:rPr>
            </w:pPr>
            <w:r w:rsidRPr="005D4059">
              <w:rPr>
                <w:rFonts w:ascii="Arial Narrow" w:hAnsi="Arial Narrow"/>
                <w:color w:val="FF0000"/>
                <w:sz w:val="22"/>
                <w:szCs w:val="22"/>
              </w:rPr>
              <w:t>SS</w:t>
            </w:r>
          </w:p>
        </w:tc>
      </w:tr>
      <w:tr w:rsidR="007C53D1" w:rsidRPr="009860CD" w:rsidTr="00254735">
        <w:tc>
          <w:tcPr>
            <w:tcW w:w="5364" w:type="dxa"/>
            <w:tcBorders>
              <w:top w:val="nil"/>
              <w:left w:val="nil"/>
              <w:bottom w:val="nil"/>
              <w:right w:val="nil"/>
            </w:tcBorders>
            <w:vAlign w:val="center"/>
          </w:tcPr>
          <w:p w:rsidR="007C53D1" w:rsidRPr="009860CD" w:rsidRDefault="007C53D1" w:rsidP="00AF7112">
            <w:pPr>
              <w:spacing w:beforeLines="60"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AF7112">
            <w:pPr>
              <w:spacing w:beforeLines="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AF7112">
            <w:pPr>
              <w:spacing w:beforeLines="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140D05" w:rsidRDefault="00433EEA" w:rsidP="00433EEA">
            <w:pPr>
              <w:rPr>
                <w:rFonts w:ascii="Arial Narrow" w:hAnsi="Arial Narrow"/>
                <w:sz w:val="20"/>
                <w:szCs w:val="20"/>
              </w:rPr>
            </w:pPr>
            <w:r>
              <w:rPr>
                <w:rFonts w:ascii="Arial Narrow" w:hAnsi="Arial Narrow"/>
                <w:sz w:val="20"/>
                <w:szCs w:val="20"/>
              </w:rPr>
              <w:t>This objective was far-reaching</w:t>
            </w:r>
            <w:r w:rsidR="00140D05">
              <w:rPr>
                <w:rFonts w:ascii="Arial Narrow" w:hAnsi="Arial Narrow"/>
                <w:sz w:val="20"/>
                <w:szCs w:val="20"/>
              </w:rPr>
              <w:t>,</w:t>
            </w:r>
            <w:r>
              <w:rPr>
                <w:rFonts w:ascii="Arial Narrow" w:hAnsi="Arial Narrow"/>
                <w:sz w:val="20"/>
                <w:szCs w:val="20"/>
              </w:rPr>
              <w:t xml:space="preserve"> and </w:t>
            </w:r>
            <w:r w:rsidR="00140D05">
              <w:rPr>
                <w:rFonts w:ascii="Arial Narrow" w:hAnsi="Arial Narrow"/>
                <w:sz w:val="20"/>
                <w:szCs w:val="20"/>
              </w:rPr>
              <w:t xml:space="preserve">individual means (2a-2f) </w:t>
            </w:r>
            <w:r>
              <w:rPr>
                <w:rFonts w:ascii="Arial Narrow" w:hAnsi="Arial Narrow"/>
                <w:sz w:val="20"/>
                <w:szCs w:val="20"/>
              </w:rPr>
              <w:t xml:space="preserve">changed over the course of the reporting year due to shifts in departmental leadership and individual staff positions/responsibilities.  A comprehensive recruiting and enrollment plan has been </w:t>
            </w:r>
            <w:r w:rsidR="00140D05">
              <w:rPr>
                <w:rFonts w:ascii="Arial Narrow" w:hAnsi="Arial Narrow"/>
                <w:sz w:val="20"/>
                <w:szCs w:val="20"/>
              </w:rPr>
              <w:t>developed</w:t>
            </w:r>
            <w:r>
              <w:rPr>
                <w:rFonts w:ascii="Arial Narrow" w:hAnsi="Arial Narrow"/>
                <w:sz w:val="20"/>
                <w:szCs w:val="20"/>
              </w:rPr>
              <w:t xml:space="preserve"> and approved by Academic Affairs.  Enrollment and retent</w:t>
            </w:r>
            <w:r w:rsidR="00140D05">
              <w:rPr>
                <w:rFonts w:ascii="Arial Narrow" w:hAnsi="Arial Narrow"/>
                <w:sz w:val="20"/>
                <w:szCs w:val="20"/>
              </w:rPr>
              <w:t>ion statistics show improvement (see figures below).</w:t>
            </w:r>
          </w:p>
          <w:p w:rsidR="00140D05" w:rsidRDefault="00140D05" w:rsidP="00433EEA">
            <w:pPr>
              <w:rPr>
                <w:rFonts w:ascii="Arial Narrow" w:hAnsi="Arial Narrow"/>
                <w:sz w:val="20"/>
                <w:szCs w:val="20"/>
              </w:rPr>
            </w:pPr>
          </w:p>
          <w:p w:rsidR="00433EEA" w:rsidRDefault="00372BA7" w:rsidP="00433EEA">
            <w:pPr>
              <w:rPr>
                <w:rFonts w:ascii="Arial Narrow" w:hAnsi="Arial Narrow"/>
                <w:sz w:val="20"/>
                <w:szCs w:val="20"/>
              </w:rPr>
            </w:pPr>
            <w:r>
              <w:rPr>
                <w:rFonts w:ascii="Arial Narrow" w:hAnsi="Arial Narrow"/>
                <w:sz w:val="20"/>
                <w:szCs w:val="20"/>
              </w:rPr>
              <w:t>Department did not implement an enhanced orientation program in 2011-12; the enhanced orientation program remains a goal for the remainder of the time period described in this objective and will carry over as a departmental goal for 2012-13.</w:t>
            </w:r>
          </w:p>
          <w:p w:rsidR="002257EB" w:rsidRDefault="002257EB" w:rsidP="00433EEA">
            <w:pPr>
              <w:rPr>
                <w:rFonts w:ascii="Arial Narrow" w:hAnsi="Arial Narrow"/>
                <w:sz w:val="20"/>
                <w:szCs w:val="20"/>
              </w:rPr>
            </w:pPr>
          </w:p>
          <w:p w:rsidR="007C53D1" w:rsidRDefault="00433EEA" w:rsidP="00433EEA">
            <w:pPr>
              <w:rPr>
                <w:rFonts w:ascii="Arial Narrow" w:hAnsi="Arial Narrow"/>
                <w:sz w:val="20"/>
                <w:szCs w:val="20"/>
              </w:rPr>
            </w:pPr>
            <w:r>
              <w:rPr>
                <w:rFonts w:ascii="Arial Narrow" w:hAnsi="Arial Narrow"/>
                <w:sz w:val="20"/>
                <w:szCs w:val="20"/>
              </w:rPr>
              <w:t xml:space="preserve">2011 Fall enrollment :  </w:t>
            </w:r>
            <w:r w:rsidR="00140D05">
              <w:rPr>
                <w:rFonts w:ascii="Arial Narrow" w:hAnsi="Arial Narrow"/>
                <w:sz w:val="20"/>
                <w:szCs w:val="20"/>
              </w:rPr>
              <w:t>27 new, degree-seeking international</w:t>
            </w:r>
            <w:r>
              <w:rPr>
                <w:rFonts w:ascii="Arial Narrow" w:hAnsi="Arial Narrow"/>
                <w:sz w:val="20"/>
                <w:szCs w:val="20"/>
              </w:rPr>
              <w:t xml:space="preserve"> students</w:t>
            </w:r>
          </w:p>
          <w:p w:rsidR="00140D05" w:rsidRDefault="00140D05" w:rsidP="00433EEA">
            <w:pPr>
              <w:rPr>
                <w:rFonts w:ascii="Arial Narrow" w:hAnsi="Arial Narrow"/>
                <w:sz w:val="20"/>
                <w:szCs w:val="20"/>
              </w:rPr>
            </w:pPr>
            <w:r>
              <w:rPr>
                <w:rFonts w:ascii="Arial Narrow" w:hAnsi="Arial Narrow"/>
                <w:sz w:val="20"/>
                <w:szCs w:val="20"/>
              </w:rPr>
              <w:t xml:space="preserve">2011 Fall enrollment:   60 </w:t>
            </w:r>
            <w:r w:rsidR="00433EEA">
              <w:rPr>
                <w:rFonts w:ascii="Arial Narrow" w:hAnsi="Arial Narrow"/>
                <w:sz w:val="20"/>
                <w:szCs w:val="20"/>
              </w:rPr>
              <w:t>continuing international students</w:t>
            </w:r>
            <w:r>
              <w:rPr>
                <w:rFonts w:ascii="Arial Narrow" w:hAnsi="Arial Narrow"/>
                <w:sz w:val="20"/>
                <w:szCs w:val="20"/>
              </w:rPr>
              <w:t xml:space="preserve"> (includes </w:t>
            </w:r>
          </w:p>
          <w:p w:rsidR="00433EEA" w:rsidRDefault="00140D05" w:rsidP="00433EEA">
            <w:pPr>
              <w:rPr>
                <w:rFonts w:ascii="Arial Narrow" w:hAnsi="Arial Narrow"/>
                <w:sz w:val="20"/>
                <w:szCs w:val="20"/>
              </w:rPr>
            </w:pPr>
            <w:r>
              <w:rPr>
                <w:rFonts w:ascii="Arial Narrow" w:hAnsi="Arial Narrow"/>
                <w:sz w:val="20"/>
                <w:szCs w:val="20"/>
              </w:rPr>
              <w:t xml:space="preserve">                                    ESL)</w:t>
            </w:r>
          </w:p>
          <w:p w:rsidR="00433EEA" w:rsidRDefault="00140D05" w:rsidP="00433EEA">
            <w:pPr>
              <w:rPr>
                <w:rFonts w:ascii="Arial Narrow" w:hAnsi="Arial Narrow"/>
                <w:sz w:val="20"/>
                <w:szCs w:val="20"/>
              </w:rPr>
            </w:pPr>
            <w:r>
              <w:rPr>
                <w:rFonts w:ascii="Arial Narrow" w:hAnsi="Arial Narrow"/>
                <w:sz w:val="20"/>
                <w:szCs w:val="20"/>
              </w:rPr>
              <w:t>2011 Fall enrollment:   25</w:t>
            </w:r>
            <w:r w:rsidR="00433EEA">
              <w:rPr>
                <w:rFonts w:ascii="Arial Narrow" w:hAnsi="Arial Narrow"/>
                <w:sz w:val="20"/>
                <w:szCs w:val="20"/>
              </w:rPr>
              <w:t>exchange students</w:t>
            </w:r>
          </w:p>
          <w:p w:rsidR="00140D05" w:rsidRDefault="00140D05" w:rsidP="00433EEA">
            <w:pPr>
              <w:rPr>
                <w:rFonts w:ascii="Arial Narrow" w:hAnsi="Arial Narrow"/>
                <w:sz w:val="20"/>
                <w:szCs w:val="20"/>
              </w:rPr>
            </w:pPr>
            <w:r>
              <w:rPr>
                <w:rFonts w:ascii="Arial Narrow" w:hAnsi="Arial Narrow"/>
                <w:sz w:val="20"/>
                <w:szCs w:val="20"/>
              </w:rPr>
              <w:t>Total, Fall 2011:          112 enrolled international students</w:t>
            </w:r>
          </w:p>
          <w:p w:rsidR="00433EEA" w:rsidRDefault="00433EEA" w:rsidP="00433EEA">
            <w:pPr>
              <w:rPr>
                <w:rFonts w:ascii="Arial Narrow" w:hAnsi="Arial Narrow"/>
                <w:sz w:val="20"/>
                <w:szCs w:val="20"/>
              </w:rPr>
            </w:pPr>
          </w:p>
          <w:p w:rsidR="00140D05" w:rsidRDefault="00433EEA" w:rsidP="00433EEA">
            <w:pPr>
              <w:rPr>
                <w:rFonts w:ascii="Arial Narrow" w:hAnsi="Arial Narrow"/>
                <w:sz w:val="20"/>
                <w:szCs w:val="20"/>
              </w:rPr>
            </w:pPr>
            <w:r>
              <w:rPr>
                <w:rFonts w:ascii="Arial Narrow" w:hAnsi="Arial Narrow"/>
                <w:sz w:val="20"/>
                <w:szCs w:val="20"/>
              </w:rPr>
              <w:t>2012 Fall enrollment: projected</w:t>
            </w:r>
            <w:r w:rsidR="00140D05">
              <w:rPr>
                <w:rFonts w:ascii="Arial Narrow" w:hAnsi="Arial Narrow"/>
                <w:sz w:val="20"/>
                <w:szCs w:val="20"/>
              </w:rPr>
              <w:t xml:space="preserve"> 40</w:t>
            </w:r>
            <w:r>
              <w:rPr>
                <w:rFonts w:ascii="Arial Narrow" w:hAnsi="Arial Narrow"/>
                <w:sz w:val="20"/>
                <w:szCs w:val="20"/>
              </w:rPr>
              <w:t xml:space="preserve"> </w:t>
            </w:r>
            <w:r w:rsidR="00140D05">
              <w:rPr>
                <w:rFonts w:ascii="Arial Narrow" w:hAnsi="Arial Narrow"/>
                <w:sz w:val="20"/>
                <w:szCs w:val="20"/>
              </w:rPr>
              <w:t xml:space="preserve">new, degree-seeking </w:t>
            </w:r>
            <w:r>
              <w:rPr>
                <w:rFonts w:ascii="Arial Narrow" w:hAnsi="Arial Narrow"/>
                <w:sz w:val="20"/>
                <w:szCs w:val="20"/>
              </w:rPr>
              <w:t xml:space="preserve">international, </w:t>
            </w:r>
            <w:r w:rsidR="00140D05">
              <w:rPr>
                <w:rFonts w:ascii="Arial Narrow" w:hAnsi="Arial Narrow"/>
                <w:sz w:val="20"/>
                <w:szCs w:val="20"/>
              </w:rPr>
              <w:t xml:space="preserve">                 </w:t>
            </w:r>
          </w:p>
          <w:p w:rsidR="00140D05" w:rsidRDefault="00140D05" w:rsidP="00433EEA">
            <w:pPr>
              <w:rPr>
                <w:rFonts w:ascii="Arial Narrow" w:hAnsi="Arial Narrow"/>
                <w:sz w:val="18"/>
                <w:szCs w:val="18"/>
              </w:rPr>
            </w:pPr>
            <w:r>
              <w:rPr>
                <w:rFonts w:ascii="Arial Narrow" w:hAnsi="Arial Narrow"/>
                <w:sz w:val="20"/>
                <w:szCs w:val="20"/>
              </w:rPr>
              <w:t xml:space="preserve">                                   </w:t>
            </w:r>
            <w:r w:rsidR="00433EEA">
              <w:rPr>
                <w:rFonts w:ascii="Arial Narrow" w:hAnsi="Arial Narrow"/>
                <w:sz w:val="20"/>
                <w:szCs w:val="20"/>
              </w:rPr>
              <w:t>students</w:t>
            </w:r>
            <w:r>
              <w:rPr>
                <w:rFonts w:ascii="Arial Narrow" w:hAnsi="Arial Narrow"/>
                <w:sz w:val="20"/>
                <w:szCs w:val="20"/>
              </w:rPr>
              <w:t xml:space="preserve"> </w:t>
            </w:r>
            <w:r w:rsidRPr="00140D05">
              <w:rPr>
                <w:rFonts w:ascii="Arial Narrow" w:hAnsi="Arial Narrow"/>
                <w:sz w:val="18"/>
                <w:szCs w:val="18"/>
              </w:rPr>
              <w:t>(based on DS2019 and I-20s issued, 1</w:t>
            </w:r>
            <w:r w:rsidRPr="00140D05">
              <w:rPr>
                <w:rFonts w:ascii="Arial Narrow" w:hAnsi="Arial Narrow"/>
                <w:sz w:val="18"/>
                <w:szCs w:val="18"/>
                <w:vertAlign w:val="superscript"/>
              </w:rPr>
              <w:t>st</w:t>
            </w:r>
            <w:r w:rsidRPr="00140D05">
              <w:rPr>
                <w:rFonts w:ascii="Arial Narrow" w:hAnsi="Arial Narrow"/>
                <w:sz w:val="18"/>
                <w:szCs w:val="18"/>
              </w:rPr>
              <w:t xml:space="preserve"> </w:t>
            </w:r>
          </w:p>
          <w:p w:rsidR="00433EEA" w:rsidRPr="00140D05" w:rsidRDefault="00140D05" w:rsidP="00433EEA">
            <w:pPr>
              <w:rPr>
                <w:rFonts w:ascii="Arial Narrow" w:hAnsi="Arial Narrow"/>
                <w:sz w:val="18"/>
                <w:szCs w:val="18"/>
              </w:rPr>
            </w:pPr>
            <w:r>
              <w:rPr>
                <w:rFonts w:ascii="Arial Narrow" w:hAnsi="Arial Narrow"/>
                <w:sz w:val="18"/>
                <w:szCs w:val="18"/>
              </w:rPr>
              <w:t xml:space="preserve">                                       </w:t>
            </w:r>
            <w:r w:rsidRPr="00140D05">
              <w:rPr>
                <w:rFonts w:ascii="Arial Narrow" w:hAnsi="Arial Narrow"/>
                <w:sz w:val="18"/>
                <w:szCs w:val="18"/>
              </w:rPr>
              <w:t>August, 2012)</w:t>
            </w:r>
          </w:p>
          <w:p w:rsidR="00140D05" w:rsidRDefault="00433EEA" w:rsidP="00433EEA">
            <w:pPr>
              <w:rPr>
                <w:rFonts w:ascii="Arial Narrow" w:hAnsi="Arial Narrow"/>
                <w:sz w:val="20"/>
                <w:szCs w:val="20"/>
              </w:rPr>
            </w:pPr>
            <w:r>
              <w:rPr>
                <w:rFonts w:ascii="Arial Narrow" w:hAnsi="Arial Narrow"/>
                <w:sz w:val="20"/>
                <w:szCs w:val="20"/>
              </w:rPr>
              <w:t>20</w:t>
            </w:r>
            <w:r w:rsidR="00140D05">
              <w:rPr>
                <w:rFonts w:ascii="Arial Narrow" w:hAnsi="Arial Narrow"/>
                <w:sz w:val="20"/>
                <w:szCs w:val="20"/>
              </w:rPr>
              <w:t xml:space="preserve">12 Fall enrollment: projected 70 </w:t>
            </w:r>
            <w:r>
              <w:rPr>
                <w:rFonts w:ascii="Arial Narrow" w:hAnsi="Arial Narrow"/>
                <w:sz w:val="20"/>
                <w:szCs w:val="20"/>
              </w:rPr>
              <w:t>continuing international students</w:t>
            </w:r>
            <w:r w:rsidR="00140D05">
              <w:rPr>
                <w:rFonts w:ascii="Arial Narrow" w:hAnsi="Arial Narrow"/>
                <w:sz w:val="20"/>
                <w:szCs w:val="20"/>
              </w:rPr>
              <w:t xml:space="preserve">              </w:t>
            </w:r>
          </w:p>
          <w:p w:rsidR="00433EEA" w:rsidRDefault="00140D05" w:rsidP="00433EEA">
            <w:pPr>
              <w:rPr>
                <w:rFonts w:ascii="Arial Narrow" w:hAnsi="Arial Narrow"/>
                <w:sz w:val="20"/>
                <w:szCs w:val="20"/>
              </w:rPr>
            </w:pPr>
            <w:r>
              <w:rPr>
                <w:rFonts w:ascii="Arial Narrow" w:hAnsi="Arial Narrow"/>
                <w:sz w:val="20"/>
                <w:szCs w:val="20"/>
              </w:rPr>
              <w:t xml:space="preserve">                                     </w:t>
            </w:r>
            <w:r w:rsidRPr="00140D05">
              <w:rPr>
                <w:rFonts w:ascii="Arial Narrow" w:hAnsi="Arial Narrow"/>
                <w:sz w:val="18"/>
                <w:szCs w:val="18"/>
              </w:rPr>
              <w:t>(includes ESL)</w:t>
            </w:r>
          </w:p>
          <w:p w:rsidR="00433EEA" w:rsidRDefault="00433EEA" w:rsidP="00433EEA">
            <w:pPr>
              <w:rPr>
                <w:rFonts w:ascii="Arial Narrow" w:hAnsi="Arial Narrow"/>
                <w:sz w:val="20"/>
                <w:szCs w:val="20"/>
              </w:rPr>
            </w:pPr>
            <w:r>
              <w:rPr>
                <w:rFonts w:ascii="Arial Narrow" w:hAnsi="Arial Narrow"/>
                <w:sz w:val="20"/>
                <w:szCs w:val="20"/>
              </w:rPr>
              <w:t>20</w:t>
            </w:r>
            <w:r w:rsidR="00140D05">
              <w:rPr>
                <w:rFonts w:ascii="Arial Narrow" w:hAnsi="Arial Narrow"/>
                <w:sz w:val="20"/>
                <w:szCs w:val="20"/>
              </w:rPr>
              <w:t xml:space="preserve">12 Fall enrollment: projected  25 </w:t>
            </w:r>
            <w:r>
              <w:rPr>
                <w:rFonts w:ascii="Arial Narrow" w:hAnsi="Arial Narrow"/>
                <w:sz w:val="20"/>
                <w:szCs w:val="20"/>
              </w:rPr>
              <w:t>exchange students</w:t>
            </w:r>
          </w:p>
          <w:p w:rsidR="00140D05" w:rsidRDefault="00140D05" w:rsidP="00433EEA">
            <w:pPr>
              <w:rPr>
                <w:rFonts w:ascii="Arial Narrow" w:hAnsi="Arial Narrow"/>
                <w:sz w:val="20"/>
                <w:szCs w:val="20"/>
              </w:rPr>
            </w:pPr>
          </w:p>
          <w:p w:rsidR="00140D05" w:rsidRDefault="00140D05" w:rsidP="00433EEA">
            <w:pPr>
              <w:rPr>
                <w:rFonts w:ascii="Arial Narrow" w:hAnsi="Arial Narrow"/>
                <w:sz w:val="20"/>
                <w:szCs w:val="20"/>
              </w:rPr>
            </w:pPr>
            <w:r>
              <w:rPr>
                <w:rFonts w:ascii="Arial Narrow" w:hAnsi="Arial Narrow"/>
                <w:sz w:val="20"/>
                <w:szCs w:val="20"/>
              </w:rPr>
              <w:t xml:space="preserve">Total, Projected, Fall 2012 – 135 enrolled international students, </w:t>
            </w:r>
          </w:p>
          <w:p w:rsidR="00140D05" w:rsidRDefault="00140D05" w:rsidP="00433EEA">
            <w:pPr>
              <w:rPr>
                <w:rFonts w:ascii="Arial Narrow" w:hAnsi="Arial Narrow"/>
                <w:sz w:val="20"/>
                <w:szCs w:val="20"/>
              </w:rPr>
            </w:pPr>
            <w:r>
              <w:rPr>
                <w:rFonts w:ascii="Arial Narrow" w:hAnsi="Arial Narrow"/>
                <w:sz w:val="20"/>
                <w:szCs w:val="20"/>
              </w:rPr>
              <w:t xml:space="preserve">                                   20.5% increase from fall 2011</w:t>
            </w:r>
          </w:p>
          <w:p w:rsidR="00433EEA" w:rsidRPr="00433EEA" w:rsidRDefault="00433EEA" w:rsidP="00433EEA">
            <w:pPr>
              <w:rPr>
                <w:rFonts w:ascii="Arial Narrow" w:hAnsi="Arial Narrow"/>
                <w:sz w:val="20"/>
                <w:szCs w:val="20"/>
              </w:rPr>
            </w:pPr>
          </w:p>
        </w:tc>
        <w:tc>
          <w:tcPr>
            <w:tcW w:w="282" w:type="dxa"/>
            <w:tcBorders>
              <w:top w:val="nil"/>
              <w:left w:val="nil"/>
              <w:bottom w:val="single" w:sz="4" w:space="0" w:color="auto"/>
              <w:right w:val="nil"/>
            </w:tcBorders>
          </w:tcPr>
          <w:p w:rsidR="007C53D1" w:rsidRDefault="00140D05" w:rsidP="0036346B">
            <w:pPr>
              <w:rPr>
                <w:rFonts w:ascii="Arial Narrow" w:hAnsi="Arial Narrow" w:cs="Arial"/>
              </w:rPr>
            </w:pPr>
            <w:r>
              <w:rPr>
                <w:rFonts w:ascii="Arial Narrow" w:hAnsi="Arial Narrow" w:cs="Arial"/>
              </w:rPr>
              <w:t xml:space="preserve">          </w:t>
            </w:r>
          </w:p>
          <w:p w:rsidR="00140D05" w:rsidRPr="009860CD" w:rsidRDefault="00140D05" w:rsidP="0036346B">
            <w:pPr>
              <w:rPr>
                <w:rFonts w:ascii="Arial Narrow" w:hAnsi="Arial Narrow" w:cs="Arial"/>
              </w:rPr>
            </w:pPr>
            <w:r>
              <w:rPr>
                <w:rFonts w:ascii="Arial Narrow" w:hAnsi="Arial Narrow" w:cs="Arial"/>
              </w:rPr>
              <w:t xml:space="preserve">     </w:t>
            </w:r>
          </w:p>
        </w:tc>
        <w:tc>
          <w:tcPr>
            <w:tcW w:w="5370" w:type="dxa"/>
            <w:tcBorders>
              <w:top w:val="nil"/>
              <w:left w:val="nil"/>
              <w:bottom w:val="single" w:sz="4" w:space="0" w:color="auto"/>
              <w:right w:val="nil"/>
            </w:tcBorders>
            <w:shd w:val="clear" w:color="auto" w:fill="F2F2F2" w:themeFill="background1" w:themeFillShade="F2"/>
          </w:tcPr>
          <w:p w:rsidR="00372BA7" w:rsidRDefault="00372BA7" w:rsidP="002257EB">
            <w:pPr>
              <w:rPr>
                <w:rFonts w:ascii="Arial Narrow" w:hAnsi="Arial Narrow"/>
                <w:sz w:val="20"/>
                <w:szCs w:val="20"/>
              </w:rPr>
            </w:pPr>
            <w:r>
              <w:rPr>
                <w:rFonts w:ascii="Arial Narrow" w:hAnsi="Arial Narrow"/>
                <w:sz w:val="20"/>
                <w:szCs w:val="20"/>
              </w:rPr>
              <w:t>2a)  Project team includes one professional staff, interim director, Provost/VP of Academic Affairs.</w:t>
            </w:r>
          </w:p>
          <w:p w:rsidR="00372BA7" w:rsidRDefault="00372BA7" w:rsidP="002257EB">
            <w:pPr>
              <w:rPr>
                <w:rFonts w:ascii="Arial Narrow" w:hAnsi="Arial Narrow"/>
                <w:sz w:val="20"/>
                <w:szCs w:val="20"/>
              </w:rPr>
            </w:pPr>
            <w:r>
              <w:rPr>
                <w:rFonts w:ascii="Arial Narrow" w:hAnsi="Arial Narrow"/>
                <w:sz w:val="20"/>
                <w:szCs w:val="20"/>
              </w:rPr>
              <w:t>2b)  Individual responsibilities have been assigned; contract issued for full-time consultant.</w:t>
            </w:r>
          </w:p>
          <w:p w:rsidR="00372BA7" w:rsidRDefault="00372BA7" w:rsidP="002257EB">
            <w:pPr>
              <w:rPr>
                <w:rFonts w:ascii="Arial Narrow" w:hAnsi="Arial Narrow"/>
                <w:sz w:val="20"/>
                <w:szCs w:val="20"/>
              </w:rPr>
            </w:pPr>
            <w:r>
              <w:rPr>
                <w:rFonts w:ascii="Arial Narrow" w:hAnsi="Arial Narrow"/>
                <w:sz w:val="20"/>
                <w:szCs w:val="20"/>
              </w:rPr>
              <w:t>2c) A written plan has been submitted and approved.</w:t>
            </w:r>
          </w:p>
          <w:p w:rsidR="00372BA7" w:rsidRDefault="00372BA7" w:rsidP="002257EB">
            <w:pPr>
              <w:rPr>
                <w:rFonts w:ascii="Arial Narrow" w:hAnsi="Arial Narrow"/>
                <w:sz w:val="20"/>
                <w:szCs w:val="20"/>
              </w:rPr>
            </w:pPr>
            <w:r>
              <w:rPr>
                <w:rFonts w:ascii="Arial Narrow" w:hAnsi="Arial Narrow"/>
                <w:sz w:val="20"/>
                <w:szCs w:val="20"/>
              </w:rPr>
              <w:t>2d) Electronic resources have been updated; correspondence with MOU/agents has continued.  Target enrollment goal for fall 2012 has been met (projection 32 new first-time international students).</w:t>
            </w:r>
          </w:p>
          <w:p w:rsidR="00372BA7" w:rsidRDefault="00372BA7" w:rsidP="002257EB">
            <w:pPr>
              <w:rPr>
                <w:rFonts w:ascii="Arial Narrow" w:hAnsi="Arial Narrow"/>
                <w:sz w:val="20"/>
                <w:szCs w:val="20"/>
              </w:rPr>
            </w:pPr>
            <w:r>
              <w:rPr>
                <w:rFonts w:ascii="Arial Narrow" w:hAnsi="Arial Narrow"/>
                <w:sz w:val="20"/>
                <w:szCs w:val="20"/>
              </w:rPr>
              <w:t>2e) The buddy program matched each international student with an NMU student buddy; only 20 active pairings were sustained over the course of the year.  A sustainable, extended orientation program has not yet been developed.</w:t>
            </w:r>
          </w:p>
          <w:p w:rsidR="00372BA7" w:rsidRDefault="00372BA7" w:rsidP="002257EB">
            <w:pPr>
              <w:rPr>
                <w:rFonts w:ascii="Arial Narrow" w:hAnsi="Arial Narrow"/>
                <w:sz w:val="20"/>
                <w:szCs w:val="20"/>
              </w:rPr>
            </w:pPr>
            <w:r>
              <w:rPr>
                <w:rFonts w:ascii="Arial Narrow" w:hAnsi="Arial Narrow"/>
                <w:sz w:val="20"/>
                <w:szCs w:val="20"/>
              </w:rPr>
              <w:t>2f) Electronic student enrollment survey has not yet been developed; annual enrollment statistics have been collected and reported through the IIE annual Open Doors Survey. Results have been incorporated into enrollment/retention targets developed in conjunction with the comprehensive recruiting and enrollment plan.</w:t>
            </w:r>
          </w:p>
          <w:p w:rsidR="00713B5E" w:rsidRPr="002257EB" w:rsidRDefault="00713B5E" w:rsidP="002257EB">
            <w:pPr>
              <w:rPr>
                <w:rFonts w:ascii="Arial Narrow" w:hAnsi="Arial Narrow"/>
                <w:sz w:val="20"/>
                <w:szCs w:val="20"/>
              </w:rPr>
            </w:pPr>
            <w:r>
              <w:rPr>
                <w:rFonts w:ascii="Arial Narrow" w:hAnsi="Arial Narrow"/>
                <w:sz w:val="20"/>
                <w:szCs w:val="20"/>
              </w:rPr>
              <w:t xml:space="preserve">     Web usage counts were not implemented but remain a part of the written recruitment/retention plan approved by Academic Affairs.</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Default="007C53D1" w:rsidP="00972106">
            <w:pPr>
              <w:rPr>
                <w:rFonts w:ascii="Arial Narrow" w:hAnsi="Arial Narrow"/>
                <w:sz w:val="20"/>
                <w:szCs w:val="20"/>
              </w:rPr>
            </w:pPr>
            <w:r w:rsidRPr="009860CD">
              <w:rPr>
                <w:rFonts w:ascii="Arial Narrow" w:hAnsi="Arial Narrow"/>
                <w:i/>
                <w:sz w:val="22"/>
                <w:szCs w:val="22"/>
              </w:rPr>
              <w:t>Objective</w:t>
            </w:r>
            <w:r w:rsidRPr="009860CD">
              <w:rPr>
                <w:rFonts w:ascii="Arial Narrow" w:hAnsi="Arial Narrow"/>
                <w:sz w:val="22"/>
                <w:szCs w:val="22"/>
              </w:rPr>
              <w:t>:</w:t>
            </w:r>
            <w:r w:rsidR="00582B02">
              <w:rPr>
                <w:rFonts w:ascii="Arial Narrow" w:hAnsi="Arial Narrow"/>
                <w:sz w:val="22"/>
                <w:szCs w:val="22"/>
              </w:rPr>
              <w:t xml:space="preserve"> </w:t>
            </w:r>
            <w:r w:rsidR="00030CE0">
              <w:rPr>
                <w:rFonts w:ascii="Arial Narrow" w:hAnsi="Arial Narrow"/>
                <w:sz w:val="22"/>
                <w:szCs w:val="22"/>
              </w:rPr>
              <w:t xml:space="preserve"> </w:t>
            </w:r>
            <w:r w:rsidR="00030CE0">
              <w:rPr>
                <w:rFonts w:ascii="Arial Narrow" w:hAnsi="Arial Narrow"/>
                <w:sz w:val="20"/>
                <w:szCs w:val="20"/>
              </w:rPr>
              <w:t>IPO will develop and publish written and electronic protocols for risk/crisis management</w:t>
            </w:r>
            <w:r w:rsidR="00994411">
              <w:rPr>
                <w:rFonts w:ascii="Arial Narrow" w:hAnsi="Arial Narrow"/>
                <w:sz w:val="20"/>
                <w:szCs w:val="20"/>
              </w:rPr>
              <w:t xml:space="preserve"> of on-campus and off-campus international programs. </w:t>
            </w:r>
          </w:p>
          <w:p w:rsidR="00994411" w:rsidRPr="00030CE0" w:rsidRDefault="00994411" w:rsidP="00972106">
            <w:pPr>
              <w:rPr>
                <w:rFonts w:ascii="Arial Narrow" w:hAnsi="Arial Narrow"/>
                <w:sz w:val="20"/>
                <w:szCs w:val="20"/>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994411" w:rsidP="00972106">
            <w:pPr>
              <w:rPr>
                <w:rFonts w:ascii="Arial Narrow" w:hAnsi="Arial Narrow"/>
              </w:rPr>
            </w:pPr>
            <w:r>
              <w:rPr>
                <w:rFonts w:ascii="Arial Narrow" w:hAnsi="Arial Narrow"/>
                <w:sz w:val="22"/>
                <w:szCs w:val="22"/>
                <w:u w:val="single"/>
              </w:rPr>
              <w:t xml:space="preserve">X  </w:t>
            </w:r>
            <w:r w:rsidR="007C53D1" w:rsidRPr="009860CD">
              <w:rPr>
                <w:rFonts w:ascii="Arial Narrow" w:hAnsi="Arial Narrow"/>
                <w:sz w:val="22"/>
                <w:szCs w:val="22"/>
              </w:rPr>
              <w:t xml:space="preserve">Effectiveness/quality action </w:t>
            </w:r>
            <w:r w:rsidRPr="009860CD">
              <w:rPr>
                <w:rFonts w:ascii="Arial Narrow" w:hAnsi="Arial Narrow"/>
                <w:sz w:val="22"/>
                <w:szCs w:val="22"/>
                <w:u w:val="single"/>
              </w:rPr>
              <w:sym w:font="Symbol" w:char="F092"/>
            </w:r>
            <w:r>
              <w:rPr>
                <w:rFonts w:ascii="Arial Narrow" w:hAnsi="Arial Narrow"/>
                <w:sz w:val="22"/>
                <w:szCs w:val="22"/>
                <w:u w:val="single"/>
              </w:rPr>
              <w:t xml:space="preserve"> </w:t>
            </w:r>
            <w:r w:rsidR="007C53D1" w:rsidRPr="009860CD">
              <w:rPr>
                <w:rFonts w:ascii="Arial Narrow" w:hAnsi="Arial Narrow"/>
                <w:sz w:val="22"/>
                <w:szCs w:val="22"/>
              </w:rPr>
              <w:t xml:space="preserve">Efficiency/cost action   </w:t>
            </w:r>
          </w:p>
          <w:p w:rsidR="007C53D1" w:rsidRPr="009860CD" w:rsidRDefault="0046257B" w:rsidP="00972106">
            <w:pPr>
              <w:rPr>
                <w:rFonts w:ascii="Arial Narrow" w:hAnsi="Arial Narrow"/>
              </w:rPr>
            </w:pPr>
            <w:r w:rsidRPr="009860CD">
              <w:rPr>
                <w:rFonts w:ascii="Arial Narrow" w:hAnsi="Arial Narrow"/>
                <w:sz w:val="22"/>
                <w:szCs w:val="22"/>
                <w:u w:val="single"/>
              </w:rPr>
              <w:sym w:font="Symbol" w:char="F092"/>
            </w:r>
            <w:r>
              <w:rPr>
                <w:rFonts w:ascii="Arial Narrow" w:hAnsi="Arial Narrow"/>
                <w:sz w:val="22"/>
                <w:szCs w:val="22"/>
                <w:u w:val="single"/>
              </w:rPr>
              <w:t xml:space="preserve"> </w:t>
            </w:r>
            <w:r w:rsidR="007C53D1" w:rsidRPr="009860CD">
              <w:rPr>
                <w:rFonts w:ascii="Arial Narrow" w:hAnsi="Arial Narrow"/>
                <w:sz w:val="22"/>
                <w:szCs w:val="22"/>
              </w:rPr>
              <w:t xml:space="preserve">Compliance issue </w:t>
            </w:r>
            <w:r w:rsidR="00635922">
              <w:rPr>
                <w:rFonts w:ascii="Arial Narrow" w:hAnsi="Arial Narrow"/>
                <w:sz w:val="22"/>
                <w:szCs w:val="22"/>
                <w:u w:val="single"/>
              </w:rPr>
              <w:t xml:space="preserve"> </w:t>
            </w:r>
            <w:r w:rsidR="007C53D1" w:rsidRPr="009860CD">
              <w:rPr>
                <w:rFonts w:ascii="Arial Narrow" w:hAnsi="Arial Narrow"/>
                <w:sz w:val="22"/>
                <w:szCs w:val="22"/>
              </w:rPr>
              <w:t xml:space="preserve">Satisfaction measure  </w:t>
            </w:r>
            <w:r w:rsidR="00843782" w:rsidRPr="009860CD">
              <w:rPr>
                <w:rFonts w:ascii="Arial Narrow" w:hAnsi="Arial Narrow"/>
                <w:sz w:val="22"/>
                <w:szCs w:val="22"/>
                <w:u w:val="single"/>
              </w:rPr>
              <w:sym w:font="Symbol" w:char="F092"/>
            </w:r>
            <w:r w:rsidR="00843782" w:rsidRPr="009860CD">
              <w:rPr>
                <w:rFonts w:ascii="Arial Narrow" w:hAnsi="Arial Narrow"/>
                <w:sz w:val="22"/>
                <w:szCs w:val="22"/>
              </w:rPr>
              <w:t xml:space="preserve"> </w:t>
            </w:r>
            <w:r w:rsidR="007C53D1" w:rsidRPr="009860CD">
              <w:rPr>
                <w:rFonts w:ascii="Arial Narrow" w:hAnsi="Arial Narrow"/>
                <w:sz w:val="22"/>
                <w:szCs w:val="22"/>
              </w:rPr>
              <w:t xml:space="preserve">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r w:rsidR="00994411">
              <w:rPr>
                <w:rFonts w:ascii="Arial Narrow" w:hAnsi="Arial Narrow"/>
                <w:sz w:val="22"/>
                <w:szCs w:val="22"/>
              </w:rPr>
              <w:t xml:space="preserve">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D22351">
              <w:rPr>
                <w:rFonts w:ascii="Arial Narrow" w:hAnsi="Arial Narrow"/>
                <w:sz w:val="22"/>
                <w:szCs w:val="22"/>
              </w:rPr>
              <w:t xml:space="preserve">  Yes.  CA-2, CA-4, CE-1</w:t>
            </w:r>
          </w:p>
          <w:p w:rsidR="00EA6937" w:rsidRDefault="00EA6937" w:rsidP="00FE7E40">
            <w:pPr>
              <w:rPr>
                <w:rFonts w:ascii="Arial Narrow" w:hAnsi="Arial Narrow"/>
                <w:color w:val="FF0000"/>
              </w:rPr>
            </w:pPr>
          </w:p>
          <w:p w:rsidR="005D4059" w:rsidRPr="00CE5FCC" w:rsidRDefault="005D4059" w:rsidP="00FE7E40">
            <w:pPr>
              <w:rPr>
                <w:rFonts w:ascii="Arial Narrow" w:hAnsi="Arial Narrow"/>
                <w:color w:val="FF0000"/>
              </w:rPr>
            </w:pPr>
            <w:r>
              <w:rPr>
                <w:rFonts w:ascii="Arial Narrow" w:hAnsi="Arial Narrow"/>
                <w:color w:val="FF0000"/>
              </w:rPr>
              <w:t>SS</w:t>
            </w: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994411" w:rsidRDefault="00994411" w:rsidP="00994411">
            <w:pPr>
              <w:pStyle w:val="Default"/>
              <w:rPr>
                <w:rFonts w:ascii="Arial Narrow" w:hAnsi="Arial Narrow" w:cs="Arial"/>
                <w:sz w:val="20"/>
                <w:szCs w:val="20"/>
              </w:rPr>
            </w:pPr>
            <w:r w:rsidRPr="00994411">
              <w:rPr>
                <w:rFonts w:ascii="Arial Narrow" w:hAnsi="Arial Narrow" w:cs="Arial"/>
                <w:sz w:val="20"/>
                <w:szCs w:val="20"/>
              </w:rPr>
              <w:t xml:space="preserve">The IPO </w:t>
            </w:r>
            <w:r>
              <w:rPr>
                <w:rFonts w:ascii="Arial Narrow" w:hAnsi="Arial Narrow" w:cs="Arial"/>
                <w:sz w:val="20"/>
                <w:szCs w:val="20"/>
              </w:rPr>
              <w:t xml:space="preserve">has outlined procedures for crisis and health practices in faculty leader handbooks and follows the university’s overall crisis/risk </w:t>
            </w:r>
            <w:r>
              <w:rPr>
                <w:rFonts w:ascii="Arial Narrow" w:hAnsi="Arial Narrow" w:cs="Arial"/>
                <w:sz w:val="20"/>
                <w:szCs w:val="20"/>
              </w:rPr>
              <w:lastRenderedPageBreak/>
              <w:t>response plan.  The goal is to implement a written and electronic risk management plan and response protocols specific to international student/faculty mobility.</w:t>
            </w:r>
          </w:p>
          <w:p w:rsidR="00033B06" w:rsidRDefault="00033B06" w:rsidP="00033B06">
            <w:pPr>
              <w:pStyle w:val="Default"/>
              <w:numPr>
                <w:ilvl w:val="0"/>
                <w:numId w:val="4"/>
              </w:numPr>
              <w:rPr>
                <w:rFonts w:ascii="Arial Narrow" w:hAnsi="Arial Narrow" w:cs="Arial"/>
                <w:sz w:val="20"/>
                <w:szCs w:val="20"/>
              </w:rPr>
            </w:pPr>
            <w:r>
              <w:rPr>
                <w:rFonts w:ascii="Arial Narrow" w:hAnsi="Arial Narrow" w:cs="Arial"/>
                <w:sz w:val="20"/>
                <w:szCs w:val="20"/>
              </w:rPr>
              <w:t>Research existing best practice/attend professional development seminars (NAFSA, Forum), July 2011-December 2011.</w:t>
            </w:r>
          </w:p>
          <w:p w:rsidR="00994411" w:rsidRDefault="00994411" w:rsidP="00994411">
            <w:pPr>
              <w:pStyle w:val="Default"/>
              <w:numPr>
                <w:ilvl w:val="0"/>
                <w:numId w:val="4"/>
              </w:numPr>
              <w:rPr>
                <w:rFonts w:ascii="Arial Narrow" w:hAnsi="Arial Narrow" w:cs="Arial"/>
                <w:sz w:val="20"/>
                <w:szCs w:val="20"/>
              </w:rPr>
            </w:pPr>
            <w:r>
              <w:rPr>
                <w:rFonts w:ascii="Arial Narrow" w:hAnsi="Arial Narrow" w:cs="Arial"/>
                <w:sz w:val="20"/>
                <w:szCs w:val="20"/>
              </w:rPr>
              <w:t>Schedule quarterly SA Risk Management meetings, Sept. 2011, Jan, April and July 2012.</w:t>
            </w:r>
          </w:p>
          <w:p w:rsidR="00994411" w:rsidRDefault="00994411" w:rsidP="00994411">
            <w:pPr>
              <w:pStyle w:val="Default"/>
              <w:numPr>
                <w:ilvl w:val="0"/>
                <w:numId w:val="4"/>
              </w:numPr>
              <w:rPr>
                <w:rFonts w:ascii="Arial Narrow" w:hAnsi="Arial Narrow" w:cs="Arial"/>
                <w:sz w:val="20"/>
                <w:szCs w:val="20"/>
              </w:rPr>
            </w:pPr>
            <w:r>
              <w:rPr>
                <w:rFonts w:ascii="Arial Narrow" w:hAnsi="Arial Narrow" w:cs="Arial"/>
                <w:sz w:val="20"/>
                <w:szCs w:val="20"/>
              </w:rPr>
              <w:t>Meet with campus experts as identified by SA Risk Management committee at Sept. meeting – September-December, 2011.</w:t>
            </w:r>
          </w:p>
          <w:p w:rsidR="00994411" w:rsidRDefault="00994411" w:rsidP="00994411">
            <w:pPr>
              <w:pStyle w:val="Default"/>
              <w:numPr>
                <w:ilvl w:val="0"/>
                <w:numId w:val="4"/>
              </w:numPr>
              <w:rPr>
                <w:rFonts w:ascii="Arial Narrow" w:hAnsi="Arial Narrow" w:cs="Arial"/>
                <w:sz w:val="20"/>
                <w:szCs w:val="20"/>
              </w:rPr>
            </w:pPr>
            <w:r>
              <w:rPr>
                <w:rFonts w:ascii="Arial Narrow" w:hAnsi="Arial Narrow" w:cs="Arial"/>
                <w:sz w:val="20"/>
                <w:szCs w:val="20"/>
              </w:rPr>
              <w:t xml:space="preserve">Present written risk management/crisis response protocol to </w:t>
            </w:r>
            <w:r w:rsidR="0046257B">
              <w:rPr>
                <w:rFonts w:ascii="Arial Narrow" w:hAnsi="Arial Narrow" w:cs="Arial"/>
                <w:sz w:val="20"/>
                <w:szCs w:val="20"/>
              </w:rPr>
              <w:t xml:space="preserve">Dean </w:t>
            </w:r>
            <w:r>
              <w:rPr>
                <w:rFonts w:ascii="Arial Narrow" w:hAnsi="Arial Narrow" w:cs="Arial"/>
                <w:sz w:val="20"/>
                <w:szCs w:val="20"/>
              </w:rPr>
              <w:t>of International Programs, Feb. 20, 2012.</w:t>
            </w:r>
          </w:p>
          <w:p w:rsidR="00994411" w:rsidRDefault="00994411" w:rsidP="00994411">
            <w:pPr>
              <w:pStyle w:val="Default"/>
              <w:numPr>
                <w:ilvl w:val="0"/>
                <w:numId w:val="4"/>
              </w:numPr>
              <w:rPr>
                <w:rFonts w:ascii="Arial Narrow" w:hAnsi="Arial Narrow" w:cs="Arial"/>
                <w:sz w:val="20"/>
                <w:szCs w:val="20"/>
              </w:rPr>
            </w:pPr>
            <w:r>
              <w:rPr>
                <w:rFonts w:ascii="Arial Narrow" w:hAnsi="Arial Narrow" w:cs="Arial"/>
                <w:sz w:val="20"/>
                <w:szCs w:val="20"/>
              </w:rPr>
              <w:t xml:space="preserve">Review final plan/protocols with university general counsel, </w:t>
            </w:r>
            <w:r w:rsidR="0046257B">
              <w:rPr>
                <w:rFonts w:ascii="Arial Narrow" w:hAnsi="Arial Narrow" w:cs="Arial"/>
                <w:sz w:val="20"/>
                <w:szCs w:val="20"/>
              </w:rPr>
              <w:t xml:space="preserve">risk manager, dean of students, </w:t>
            </w:r>
            <w:r>
              <w:rPr>
                <w:rFonts w:ascii="Arial Narrow" w:hAnsi="Arial Narrow" w:cs="Arial"/>
                <w:sz w:val="20"/>
                <w:szCs w:val="20"/>
              </w:rPr>
              <w:t>director of communications and marketing, and director of public safety, March 1, 2012.</w:t>
            </w:r>
            <w:r w:rsidR="00EA6937">
              <w:rPr>
                <w:rFonts w:ascii="Arial Narrow" w:hAnsi="Arial Narrow" w:cs="Arial"/>
                <w:sz w:val="20"/>
                <w:szCs w:val="20"/>
              </w:rPr>
              <w:t xml:space="preserve"> </w:t>
            </w:r>
            <w:r w:rsidR="00EA6937" w:rsidRPr="00EA6937">
              <w:rPr>
                <w:rFonts w:ascii="Arial Narrow" w:hAnsi="Arial Narrow" w:cs="Arial"/>
                <w:color w:val="FF0000"/>
                <w:sz w:val="20"/>
                <w:szCs w:val="20"/>
              </w:rPr>
              <w:t xml:space="preserve"> </w:t>
            </w:r>
          </w:p>
          <w:p w:rsidR="00994411" w:rsidRDefault="00994411" w:rsidP="00994411">
            <w:pPr>
              <w:pStyle w:val="Default"/>
              <w:numPr>
                <w:ilvl w:val="0"/>
                <w:numId w:val="4"/>
              </w:numPr>
              <w:rPr>
                <w:rFonts w:ascii="Arial Narrow" w:hAnsi="Arial Narrow" w:cs="Arial"/>
                <w:sz w:val="20"/>
                <w:szCs w:val="20"/>
              </w:rPr>
            </w:pPr>
            <w:r>
              <w:rPr>
                <w:rFonts w:ascii="Arial Narrow" w:hAnsi="Arial Narrow" w:cs="Arial"/>
                <w:sz w:val="20"/>
                <w:szCs w:val="20"/>
              </w:rPr>
              <w:t>Communicate pla</w:t>
            </w:r>
            <w:r w:rsidR="00206144">
              <w:rPr>
                <w:rFonts w:ascii="Arial Narrow" w:hAnsi="Arial Narrow" w:cs="Arial"/>
                <w:sz w:val="20"/>
                <w:szCs w:val="20"/>
              </w:rPr>
              <w:t>n to IPO staff, campus constitu</w:t>
            </w:r>
            <w:r>
              <w:rPr>
                <w:rFonts w:ascii="Arial Narrow" w:hAnsi="Arial Narrow" w:cs="Arial"/>
                <w:sz w:val="20"/>
                <w:szCs w:val="20"/>
              </w:rPr>
              <w:t>ents, and publish online, March 30, 2012.</w:t>
            </w:r>
          </w:p>
          <w:p w:rsidR="00994411" w:rsidRDefault="00994411" w:rsidP="00994411">
            <w:pPr>
              <w:pStyle w:val="Default"/>
              <w:numPr>
                <w:ilvl w:val="0"/>
                <w:numId w:val="4"/>
              </w:numPr>
              <w:rPr>
                <w:rFonts w:ascii="Arial Narrow" w:hAnsi="Arial Narrow" w:cs="Arial"/>
                <w:sz w:val="20"/>
                <w:szCs w:val="20"/>
              </w:rPr>
            </w:pPr>
            <w:r>
              <w:rPr>
                <w:rFonts w:ascii="Arial Narrow" w:hAnsi="Arial Narrow" w:cs="Arial"/>
                <w:sz w:val="20"/>
                <w:szCs w:val="20"/>
              </w:rPr>
              <w:t>Schedule training for appropriate staff, faculty and administrators, including case studies, April 2012.</w:t>
            </w:r>
          </w:p>
          <w:p w:rsidR="00D22351" w:rsidRDefault="00D22351" w:rsidP="00D22351">
            <w:pPr>
              <w:pStyle w:val="Default"/>
              <w:numPr>
                <w:ilvl w:val="0"/>
                <w:numId w:val="4"/>
              </w:numPr>
              <w:rPr>
                <w:rFonts w:ascii="Arial Narrow" w:hAnsi="Arial Narrow" w:cs="Arial"/>
                <w:sz w:val="20"/>
                <w:szCs w:val="20"/>
              </w:rPr>
            </w:pPr>
            <w:r>
              <w:rPr>
                <w:rFonts w:ascii="Arial Narrow" w:hAnsi="Arial Narrow" w:cs="Arial"/>
                <w:sz w:val="20"/>
                <w:szCs w:val="20"/>
              </w:rPr>
              <w:t>Incorp</w:t>
            </w:r>
            <w:r w:rsidR="00994411">
              <w:rPr>
                <w:rFonts w:ascii="Arial Narrow" w:hAnsi="Arial Narrow" w:cs="Arial"/>
                <w:sz w:val="20"/>
                <w:szCs w:val="20"/>
              </w:rPr>
              <w:t>o</w:t>
            </w:r>
            <w:r>
              <w:rPr>
                <w:rFonts w:ascii="Arial Narrow" w:hAnsi="Arial Narrow" w:cs="Arial"/>
                <w:sz w:val="20"/>
                <w:szCs w:val="20"/>
              </w:rPr>
              <w:t>r</w:t>
            </w:r>
            <w:r w:rsidR="00994411">
              <w:rPr>
                <w:rFonts w:ascii="Arial Narrow" w:hAnsi="Arial Narrow" w:cs="Arial"/>
                <w:sz w:val="20"/>
                <w:szCs w:val="20"/>
              </w:rPr>
              <w:t>ate changes and updated information into written leader and student handbooks, June 30, 2012</w:t>
            </w:r>
            <w:r>
              <w:rPr>
                <w:rFonts w:ascii="Arial Narrow" w:hAnsi="Arial Narrow" w:cs="Arial"/>
                <w:sz w:val="20"/>
                <w:szCs w:val="20"/>
              </w:rPr>
              <w:t xml:space="preserve">. </w:t>
            </w:r>
          </w:p>
          <w:p w:rsidR="00D22351" w:rsidRPr="00D22351" w:rsidRDefault="00D22351" w:rsidP="001E0992">
            <w:pPr>
              <w:pStyle w:val="Default"/>
              <w:ind w:left="360"/>
              <w:rPr>
                <w:rFonts w:ascii="Arial Narrow" w:hAnsi="Arial Narrow" w:cs="Arial"/>
                <w:sz w:val="20"/>
                <w:szCs w:val="20"/>
              </w:rPr>
            </w:pPr>
          </w:p>
          <w:p w:rsidR="007C53D1" w:rsidRDefault="0078704B" w:rsidP="00972106">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AB4931" w:rsidRDefault="00AB4931" w:rsidP="00972106">
            <w:pPr>
              <w:pStyle w:val="Default"/>
              <w:rPr>
                <w:rFonts w:ascii="Arial Narrow" w:hAnsi="Arial Narrow" w:cs="Arial"/>
                <w:sz w:val="22"/>
                <w:szCs w:val="22"/>
              </w:rPr>
            </w:pPr>
          </w:p>
          <w:p w:rsidR="00D22351" w:rsidRDefault="00D22351" w:rsidP="00972106">
            <w:pPr>
              <w:pStyle w:val="Default"/>
              <w:rPr>
                <w:rFonts w:ascii="Arial Narrow" w:hAnsi="Arial Narrow" w:cs="Arial"/>
                <w:sz w:val="20"/>
                <w:szCs w:val="20"/>
              </w:rPr>
            </w:pPr>
            <w:r>
              <w:rPr>
                <w:rFonts w:ascii="Arial Narrow" w:hAnsi="Arial Narrow" w:cs="Arial"/>
                <w:sz w:val="20"/>
                <w:szCs w:val="20"/>
              </w:rPr>
              <w:t>IPO</w:t>
            </w:r>
            <w:r w:rsidRPr="00D22351">
              <w:rPr>
                <w:rFonts w:ascii="Arial Narrow" w:hAnsi="Arial Narrow" w:cs="Arial"/>
                <w:sz w:val="20"/>
                <w:szCs w:val="20"/>
              </w:rPr>
              <w:t xml:space="preserve"> will distribute updated written and electronic protocols to each sponsoring academic/administrative campus unit and train faculty/staff leaders.   IPO keeps detailed records of each individual emergency/crisis response and incorporates recommended changes into practice on an ongoing basis.</w:t>
            </w:r>
          </w:p>
          <w:p w:rsidR="005D4059" w:rsidRPr="008378BF" w:rsidRDefault="008378BF" w:rsidP="00972106">
            <w:pPr>
              <w:pStyle w:val="Default"/>
              <w:rPr>
                <w:rFonts w:ascii="Arial Narrow" w:hAnsi="Arial Narrow" w:cs="Arial"/>
                <w:color w:val="FF0000"/>
                <w:sz w:val="20"/>
                <w:szCs w:val="20"/>
              </w:rPr>
            </w:pPr>
            <w:r w:rsidRPr="008378BF">
              <w:rPr>
                <w:rFonts w:ascii="Arial Narrow" w:hAnsi="Arial Narrow" w:cs="Arial"/>
                <w:color w:val="FF0000"/>
                <w:sz w:val="20"/>
                <w:szCs w:val="20"/>
              </w:rPr>
              <w:t>SS</w:t>
            </w:r>
          </w:p>
          <w:p w:rsidR="007C53D1" w:rsidRPr="009860CD" w:rsidRDefault="007C53D1" w:rsidP="0046257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372BA7" w:rsidRDefault="00372BA7" w:rsidP="000358E7">
            <w:pPr>
              <w:rPr>
                <w:rFonts w:ascii="Arial Narrow" w:hAnsi="Arial Narrow"/>
                <w:sz w:val="20"/>
                <w:szCs w:val="20"/>
              </w:rPr>
            </w:pPr>
            <w:r w:rsidRPr="00372BA7">
              <w:rPr>
                <w:rFonts w:ascii="Arial Narrow" w:hAnsi="Arial Narrow"/>
                <w:sz w:val="20"/>
                <w:szCs w:val="20"/>
              </w:rPr>
              <w:t>Th</w:t>
            </w:r>
            <w:r>
              <w:rPr>
                <w:rFonts w:ascii="Arial Narrow" w:hAnsi="Arial Narrow"/>
                <w:sz w:val="20"/>
                <w:szCs w:val="20"/>
              </w:rPr>
              <w:t>e objective was not</w:t>
            </w:r>
            <w:r w:rsidR="00713B5E">
              <w:rPr>
                <w:rFonts w:ascii="Arial Narrow" w:hAnsi="Arial Narrow"/>
                <w:sz w:val="20"/>
                <w:szCs w:val="20"/>
              </w:rPr>
              <w:t xml:space="preserve"> fully</w:t>
            </w:r>
            <w:r>
              <w:rPr>
                <w:rFonts w:ascii="Arial Narrow" w:hAnsi="Arial Narrow"/>
                <w:sz w:val="20"/>
                <w:szCs w:val="20"/>
              </w:rPr>
              <w:t xml:space="preserve"> </w:t>
            </w:r>
            <w:r w:rsidR="00713B5E">
              <w:rPr>
                <w:rFonts w:ascii="Arial Narrow" w:hAnsi="Arial Narrow"/>
                <w:sz w:val="20"/>
                <w:szCs w:val="20"/>
              </w:rPr>
              <w:t>met</w:t>
            </w:r>
            <w:r>
              <w:rPr>
                <w:rFonts w:ascii="Arial Narrow" w:hAnsi="Arial Narrow"/>
                <w:sz w:val="20"/>
                <w:szCs w:val="20"/>
              </w:rPr>
              <w:t xml:space="preserve"> due to shifts in department staffing and individual position duties.  Some progress was demonstrated in the development of a University policy that states all university-funded international activities must be reported to a central information database, maintained by the International Programs Office (policy currently </w:t>
            </w:r>
            <w:r w:rsidR="00713B5E">
              <w:rPr>
                <w:rFonts w:ascii="Arial Narrow" w:hAnsi="Arial Narrow"/>
                <w:sz w:val="20"/>
                <w:szCs w:val="20"/>
              </w:rPr>
              <w:t xml:space="preserve">under review by </w:t>
            </w:r>
            <w:r>
              <w:rPr>
                <w:rFonts w:ascii="Arial Narrow" w:hAnsi="Arial Narrow"/>
                <w:sz w:val="20"/>
                <w:szCs w:val="20"/>
              </w:rPr>
              <w:t>the Board of Trustees</w:t>
            </w:r>
            <w:r w:rsidR="00713B5E">
              <w:rPr>
                <w:rFonts w:ascii="Arial Narrow" w:hAnsi="Arial Narrow"/>
                <w:sz w:val="20"/>
                <w:szCs w:val="20"/>
              </w:rPr>
              <w:t xml:space="preserve"> and Executive Council</w:t>
            </w:r>
            <w:r>
              <w:rPr>
                <w:rFonts w:ascii="Arial Narrow" w:hAnsi="Arial Narrow"/>
                <w:sz w:val="20"/>
                <w:szCs w:val="20"/>
              </w:rPr>
              <w:t>.)</w:t>
            </w:r>
            <w:r w:rsidR="00713B5E">
              <w:rPr>
                <w:rFonts w:ascii="Arial Narrow" w:hAnsi="Arial Narrow"/>
                <w:sz w:val="20"/>
                <w:szCs w:val="20"/>
              </w:rPr>
              <w:t xml:space="preserve"> The remaining sub-objectives will remain as goals for the department in the 2012-13 academic </w:t>
            </w:r>
            <w:proofErr w:type="gramStart"/>
            <w:r w:rsidR="00713B5E">
              <w:rPr>
                <w:rFonts w:ascii="Arial Narrow" w:hAnsi="Arial Narrow"/>
                <w:sz w:val="20"/>
                <w:szCs w:val="20"/>
              </w:rPr>
              <w:t>year</w:t>
            </w:r>
            <w:proofErr w:type="gramEnd"/>
            <w:r w:rsidR="00713B5E">
              <w:rPr>
                <w:rFonts w:ascii="Arial Narrow" w:hAnsi="Arial Narrow"/>
                <w:sz w:val="20"/>
                <w:szCs w:val="20"/>
              </w:rPr>
              <w:t>, dependent on full-time staffing levels and permanent departmental leadership.</w:t>
            </w:r>
            <w:r w:rsidR="000358E7">
              <w:rPr>
                <w:rFonts w:ascii="Arial Narrow" w:hAnsi="Arial Narrow"/>
                <w:sz w:val="20"/>
                <w:szCs w:val="20"/>
              </w:rPr>
              <w:t xml:space="preserve">  An electronic international travel registration process is being developed in conjunction with an online study abroad application/registration tool, under construction in partnership with Information Technology/Information Services (see 2012-13 Plan, Objective #2).</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Default="00713B5E" w:rsidP="00972106">
            <w:pPr>
              <w:rPr>
                <w:rFonts w:ascii="Arial Narrow" w:hAnsi="Arial Narrow"/>
                <w:sz w:val="20"/>
                <w:szCs w:val="20"/>
              </w:rPr>
            </w:pPr>
            <w:r>
              <w:rPr>
                <w:rFonts w:ascii="Arial Narrow" w:hAnsi="Arial Narrow"/>
                <w:sz w:val="20"/>
                <w:szCs w:val="20"/>
              </w:rPr>
              <w:t>3a) The Coordinator of Education Abroad has attended 3.5 days of intensive training (NAFSA, Forum, OSAC) and has continued to research best practices through various professional resources, including NAFSA publications, knowledge communities, and consultation with the university’s Risk Manager, Internal Audit department, and Controller’s office.</w:t>
            </w:r>
          </w:p>
          <w:p w:rsidR="00713B5E" w:rsidRDefault="00713B5E" w:rsidP="00972106">
            <w:pPr>
              <w:rPr>
                <w:rFonts w:ascii="Arial Narrow" w:hAnsi="Arial Narrow"/>
                <w:sz w:val="20"/>
                <w:szCs w:val="20"/>
              </w:rPr>
            </w:pPr>
            <w:r>
              <w:rPr>
                <w:rFonts w:ascii="Arial Narrow" w:hAnsi="Arial Narrow"/>
                <w:sz w:val="20"/>
                <w:szCs w:val="20"/>
              </w:rPr>
              <w:t>3b) Quarterly SA Risk Managements meetings were not scheduled.</w:t>
            </w:r>
          </w:p>
          <w:p w:rsidR="00713B5E" w:rsidRDefault="00713B5E" w:rsidP="00972106">
            <w:pPr>
              <w:rPr>
                <w:rFonts w:ascii="Arial Narrow" w:hAnsi="Arial Narrow"/>
                <w:sz w:val="20"/>
                <w:szCs w:val="20"/>
              </w:rPr>
            </w:pPr>
            <w:r>
              <w:rPr>
                <w:rFonts w:ascii="Arial Narrow" w:hAnsi="Arial Narrow"/>
                <w:sz w:val="20"/>
                <w:szCs w:val="20"/>
              </w:rPr>
              <w:t>3c) Coordinator-Education Abroad met with Risk Manager, Internal Audit, and Controller’s office.</w:t>
            </w:r>
          </w:p>
          <w:p w:rsidR="00713B5E" w:rsidRDefault="00713B5E" w:rsidP="00972106">
            <w:pPr>
              <w:rPr>
                <w:rFonts w:ascii="Arial Narrow" w:hAnsi="Arial Narrow"/>
                <w:sz w:val="20"/>
                <w:szCs w:val="20"/>
              </w:rPr>
            </w:pPr>
            <w:r>
              <w:rPr>
                <w:rFonts w:ascii="Arial Narrow" w:hAnsi="Arial Narrow"/>
                <w:sz w:val="20"/>
                <w:szCs w:val="20"/>
              </w:rPr>
              <w:t>3d) No written protocol has yet been developed.</w:t>
            </w:r>
          </w:p>
          <w:p w:rsidR="00713B5E" w:rsidRDefault="00713B5E" w:rsidP="00972106">
            <w:pPr>
              <w:rPr>
                <w:rFonts w:ascii="Arial Narrow" w:hAnsi="Arial Narrow"/>
                <w:sz w:val="20"/>
                <w:szCs w:val="20"/>
              </w:rPr>
            </w:pPr>
            <w:r>
              <w:rPr>
                <w:rFonts w:ascii="Arial Narrow" w:hAnsi="Arial Narrow"/>
                <w:sz w:val="20"/>
                <w:szCs w:val="20"/>
              </w:rPr>
              <w:t>3e) No written protocols are under review, with the exception of a university-wide policy for reporting international travel (university-funded).</w:t>
            </w:r>
            <w:r w:rsidR="000358E7">
              <w:rPr>
                <w:rFonts w:ascii="Arial Narrow" w:hAnsi="Arial Narrow"/>
                <w:sz w:val="20"/>
                <w:szCs w:val="20"/>
              </w:rPr>
              <w:t xml:space="preserve">  The final policy will be communicated to all NMU constituents and posted on the NMU institutional policy site.</w:t>
            </w:r>
          </w:p>
          <w:p w:rsidR="00713B5E" w:rsidRPr="00713B5E" w:rsidRDefault="00713B5E" w:rsidP="00972106">
            <w:pPr>
              <w:rPr>
                <w:rFonts w:ascii="Arial Narrow" w:hAnsi="Arial Narrow"/>
                <w:sz w:val="20"/>
                <w:szCs w:val="20"/>
              </w:rPr>
            </w:pPr>
            <w:r>
              <w:rPr>
                <w:rFonts w:ascii="Arial Narrow" w:hAnsi="Arial Narrow"/>
                <w:sz w:val="20"/>
                <w:szCs w:val="20"/>
              </w:rPr>
              <w:t>3f-3h) Deferred until objective is fully executed.</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w:t>
      </w:r>
      <w:r w:rsidRPr="00335A5C">
        <w:rPr>
          <w:rFonts w:ascii="Arial Narrow" w:hAnsi="Arial Narrow"/>
          <w:sz w:val="22"/>
        </w:rPr>
        <w:lastRenderedPageBreak/>
        <w:t xml:space="preserve">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262A66">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262A66">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262A66">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262A66">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262A66">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262A66">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5E" w:rsidRDefault="00713B5E" w:rsidP="00CC0C16">
      <w:r>
        <w:separator/>
      </w:r>
    </w:p>
  </w:endnote>
  <w:endnote w:type="continuationSeparator" w:id="0">
    <w:p w:rsidR="00713B5E" w:rsidRDefault="00713B5E" w:rsidP="00CC0C16">
      <w:r>
        <w:continuationSeparator/>
      </w:r>
    </w:p>
  </w:endnote>
  <w:endnote w:id="1">
    <w:p w:rsidR="00713B5E" w:rsidRDefault="00713B5E">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5E" w:rsidRPr="00216099" w:rsidRDefault="00713B5E"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140D05">
          <w:rPr>
            <w:rFonts w:asciiTheme="minorHAnsi" w:hAnsiTheme="minorHAnsi" w:cstheme="minorHAnsi"/>
            <w:noProof/>
            <w:sz w:val="18"/>
          </w:rPr>
          <w:t>6</w:t>
        </w:r>
        <w:r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5E" w:rsidRDefault="00713B5E" w:rsidP="00CC0C16">
      <w:r>
        <w:separator/>
      </w:r>
    </w:p>
  </w:footnote>
  <w:footnote w:type="continuationSeparator" w:id="0">
    <w:p w:rsidR="00713B5E" w:rsidRDefault="00713B5E"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442"/>
    <w:multiLevelType w:val="hybridMultilevel"/>
    <w:tmpl w:val="78BEA8AC"/>
    <w:lvl w:ilvl="0" w:tplc="614E73D0">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43298"/>
    <w:multiLevelType w:val="hybridMultilevel"/>
    <w:tmpl w:val="CB74A3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171DE6"/>
    <w:multiLevelType w:val="hybridMultilevel"/>
    <w:tmpl w:val="8EDCF5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C43826"/>
    <w:multiLevelType w:val="hybridMultilevel"/>
    <w:tmpl w:val="992EE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0CE0"/>
    <w:rsid w:val="00031419"/>
    <w:rsid w:val="0003251C"/>
    <w:rsid w:val="00033039"/>
    <w:rsid w:val="00033B06"/>
    <w:rsid w:val="00034ED8"/>
    <w:rsid w:val="000358E7"/>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673EC"/>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1C4B"/>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C64B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151C4"/>
    <w:rsid w:val="00120E26"/>
    <w:rsid w:val="001223F5"/>
    <w:rsid w:val="00122E20"/>
    <w:rsid w:val="001269A6"/>
    <w:rsid w:val="00127D44"/>
    <w:rsid w:val="00130311"/>
    <w:rsid w:val="001306EF"/>
    <w:rsid w:val="0013386D"/>
    <w:rsid w:val="00135AB5"/>
    <w:rsid w:val="00140D0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4A81"/>
    <w:rsid w:val="001C7FD7"/>
    <w:rsid w:val="001D118A"/>
    <w:rsid w:val="001D36F0"/>
    <w:rsid w:val="001D38AF"/>
    <w:rsid w:val="001D7D48"/>
    <w:rsid w:val="001E049B"/>
    <w:rsid w:val="001E0992"/>
    <w:rsid w:val="001E3B7F"/>
    <w:rsid w:val="001E41B1"/>
    <w:rsid w:val="001E51BE"/>
    <w:rsid w:val="001E629E"/>
    <w:rsid w:val="001F1972"/>
    <w:rsid w:val="001F2024"/>
    <w:rsid w:val="001F2255"/>
    <w:rsid w:val="001F506D"/>
    <w:rsid w:val="001F68D7"/>
    <w:rsid w:val="0020121C"/>
    <w:rsid w:val="002054DB"/>
    <w:rsid w:val="00205BB1"/>
    <w:rsid w:val="00206144"/>
    <w:rsid w:val="0020661D"/>
    <w:rsid w:val="0021081E"/>
    <w:rsid w:val="00213420"/>
    <w:rsid w:val="00213E08"/>
    <w:rsid w:val="0021587E"/>
    <w:rsid w:val="00216099"/>
    <w:rsid w:val="00224B06"/>
    <w:rsid w:val="0022578E"/>
    <w:rsid w:val="002257EB"/>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2A66"/>
    <w:rsid w:val="0026340A"/>
    <w:rsid w:val="002705E4"/>
    <w:rsid w:val="002778A8"/>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78A"/>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1F2D"/>
    <w:rsid w:val="00323443"/>
    <w:rsid w:val="003300C9"/>
    <w:rsid w:val="003345BC"/>
    <w:rsid w:val="00334B06"/>
    <w:rsid w:val="00335937"/>
    <w:rsid w:val="00340319"/>
    <w:rsid w:val="00340D73"/>
    <w:rsid w:val="003411F0"/>
    <w:rsid w:val="00341B7C"/>
    <w:rsid w:val="00342B94"/>
    <w:rsid w:val="003471CC"/>
    <w:rsid w:val="00347C3B"/>
    <w:rsid w:val="00347D86"/>
    <w:rsid w:val="003508DE"/>
    <w:rsid w:val="003607E7"/>
    <w:rsid w:val="00360900"/>
    <w:rsid w:val="0036346B"/>
    <w:rsid w:val="00363ECF"/>
    <w:rsid w:val="0036417C"/>
    <w:rsid w:val="00365A21"/>
    <w:rsid w:val="00366C3F"/>
    <w:rsid w:val="00370A4D"/>
    <w:rsid w:val="00372463"/>
    <w:rsid w:val="00372BA7"/>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1C4"/>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029"/>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3EEA"/>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57B"/>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C7FFB"/>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2B02"/>
    <w:rsid w:val="00583BE4"/>
    <w:rsid w:val="00583DAA"/>
    <w:rsid w:val="00587722"/>
    <w:rsid w:val="00590761"/>
    <w:rsid w:val="0059709F"/>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4059"/>
    <w:rsid w:val="005D5020"/>
    <w:rsid w:val="005D50EC"/>
    <w:rsid w:val="005D576C"/>
    <w:rsid w:val="005D68B4"/>
    <w:rsid w:val="005D7634"/>
    <w:rsid w:val="005D7EAB"/>
    <w:rsid w:val="005E0F8A"/>
    <w:rsid w:val="005E158D"/>
    <w:rsid w:val="005E17DD"/>
    <w:rsid w:val="005E1E23"/>
    <w:rsid w:val="005E3ADB"/>
    <w:rsid w:val="005E4BBF"/>
    <w:rsid w:val="005E6BD9"/>
    <w:rsid w:val="005F2765"/>
    <w:rsid w:val="005F4912"/>
    <w:rsid w:val="005F4E61"/>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922"/>
    <w:rsid w:val="00635D5D"/>
    <w:rsid w:val="006365BE"/>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6B7C"/>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51A3"/>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B5E"/>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67"/>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12AC"/>
    <w:rsid w:val="00802A55"/>
    <w:rsid w:val="00804B1D"/>
    <w:rsid w:val="00806E1F"/>
    <w:rsid w:val="0080723F"/>
    <w:rsid w:val="0080752B"/>
    <w:rsid w:val="00815B60"/>
    <w:rsid w:val="00817F9B"/>
    <w:rsid w:val="00823BD4"/>
    <w:rsid w:val="00824F9B"/>
    <w:rsid w:val="0083229F"/>
    <w:rsid w:val="008327CA"/>
    <w:rsid w:val="00833A57"/>
    <w:rsid w:val="008342E6"/>
    <w:rsid w:val="008378BF"/>
    <w:rsid w:val="00843782"/>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59FB"/>
    <w:rsid w:val="008F6E9C"/>
    <w:rsid w:val="008F7818"/>
    <w:rsid w:val="009006EE"/>
    <w:rsid w:val="0090632B"/>
    <w:rsid w:val="009074A0"/>
    <w:rsid w:val="00907A3F"/>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42C"/>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4411"/>
    <w:rsid w:val="0099569D"/>
    <w:rsid w:val="009956A5"/>
    <w:rsid w:val="00995BB8"/>
    <w:rsid w:val="009969E5"/>
    <w:rsid w:val="00997BF6"/>
    <w:rsid w:val="009A0D92"/>
    <w:rsid w:val="009A1150"/>
    <w:rsid w:val="009A2406"/>
    <w:rsid w:val="009A57B0"/>
    <w:rsid w:val="009A6FE5"/>
    <w:rsid w:val="009B071B"/>
    <w:rsid w:val="009B0E15"/>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158AB"/>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C28"/>
    <w:rsid w:val="00AA3E90"/>
    <w:rsid w:val="00AA459E"/>
    <w:rsid w:val="00AB0B4C"/>
    <w:rsid w:val="00AB18C9"/>
    <w:rsid w:val="00AB3887"/>
    <w:rsid w:val="00AB4502"/>
    <w:rsid w:val="00AB4931"/>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AF7112"/>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0380"/>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B659C"/>
    <w:rsid w:val="00BC341B"/>
    <w:rsid w:val="00BC5EDF"/>
    <w:rsid w:val="00BC7347"/>
    <w:rsid w:val="00BC7DD7"/>
    <w:rsid w:val="00BD205E"/>
    <w:rsid w:val="00BD2BAC"/>
    <w:rsid w:val="00BD40DB"/>
    <w:rsid w:val="00BD5CFD"/>
    <w:rsid w:val="00BD5DD7"/>
    <w:rsid w:val="00BD6345"/>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2881"/>
    <w:rsid w:val="00C25DF6"/>
    <w:rsid w:val="00C305CE"/>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D99"/>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5FCC"/>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0A0"/>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2351"/>
    <w:rsid w:val="00D2331A"/>
    <w:rsid w:val="00D23320"/>
    <w:rsid w:val="00D2796A"/>
    <w:rsid w:val="00D31BC4"/>
    <w:rsid w:val="00D36E25"/>
    <w:rsid w:val="00D427AA"/>
    <w:rsid w:val="00D45195"/>
    <w:rsid w:val="00D465BC"/>
    <w:rsid w:val="00D524D8"/>
    <w:rsid w:val="00D52614"/>
    <w:rsid w:val="00D544F2"/>
    <w:rsid w:val="00D546C7"/>
    <w:rsid w:val="00D552BB"/>
    <w:rsid w:val="00D55F9E"/>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A6937"/>
    <w:rsid w:val="00EC01ED"/>
    <w:rsid w:val="00EC2458"/>
    <w:rsid w:val="00EC4550"/>
    <w:rsid w:val="00EC4909"/>
    <w:rsid w:val="00EC6D40"/>
    <w:rsid w:val="00EC75C6"/>
    <w:rsid w:val="00ED046B"/>
    <w:rsid w:val="00ED16DB"/>
    <w:rsid w:val="00ED1C8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3C94"/>
    <w:rsid w:val="00F13C99"/>
    <w:rsid w:val="00F14803"/>
    <w:rsid w:val="00F16E81"/>
    <w:rsid w:val="00F22543"/>
    <w:rsid w:val="00F24CBC"/>
    <w:rsid w:val="00F25905"/>
    <w:rsid w:val="00F25A94"/>
    <w:rsid w:val="00F2613F"/>
    <w:rsid w:val="00F34479"/>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14B6"/>
    <w:rsid w:val="00F84159"/>
    <w:rsid w:val="00F93976"/>
    <w:rsid w:val="00F95F8A"/>
    <w:rsid w:val="00F96DAD"/>
    <w:rsid w:val="00F97428"/>
    <w:rsid w:val="00FA064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E7E40"/>
    <w:rsid w:val="00FF0373"/>
    <w:rsid w:val="00FF2E6A"/>
    <w:rsid w:val="00FF2EC1"/>
    <w:rsid w:val="00FF43F9"/>
    <w:rsid w:val="00FF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2778A8"/>
    <w:pPr>
      <w:ind w:left="720"/>
      <w:contextualSpacing/>
    </w:pPr>
  </w:style>
  <w:style w:type="paragraph" w:styleId="PlainText">
    <w:name w:val="Plain Text"/>
    <w:basedOn w:val="Normal"/>
    <w:link w:val="PlainTextChar"/>
    <w:uiPriority w:val="99"/>
    <w:unhideWhenUsed/>
    <w:rsid w:val="009074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074A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CF5A-0ABB-42B9-A060-D8DF9F5A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7</cp:revision>
  <cp:lastPrinted>2012-07-31T18:58:00Z</cp:lastPrinted>
  <dcterms:created xsi:type="dcterms:W3CDTF">2012-07-31T18:01:00Z</dcterms:created>
  <dcterms:modified xsi:type="dcterms:W3CDTF">2012-07-31T19:31:00Z</dcterms:modified>
</cp:coreProperties>
</file>