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B7766A" w:rsidP="00254735">
            <w:pPr>
              <w:rPr>
                <w:rFonts w:ascii="Arial Narrow" w:hAnsi="Arial Narrow"/>
              </w:rPr>
            </w:pPr>
            <w:r>
              <w:rPr>
                <w:rFonts w:ascii="Arial Narrow" w:hAnsi="Arial Narrow"/>
              </w:rPr>
              <w:t>Human Resources</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B60EE2" w:rsidP="00AA2391">
            <w:pPr>
              <w:rPr>
                <w:rFonts w:ascii="Arial Narrow" w:hAnsi="Arial Narrow" w:cs="Arial"/>
              </w:rPr>
            </w:pPr>
            <w:r w:rsidRPr="00590761">
              <w:rPr>
                <w:rFonts w:ascii="Arial Narrow" w:hAnsi="Arial Narrow" w:cs="Arial"/>
                <w:sz w:val="22"/>
                <w:szCs w:val="22"/>
              </w:rPr>
              <w:t xml:space="preserve"> </w:t>
            </w:r>
            <w:r w:rsidR="00AA2391" w:rsidRPr="00590761">
              <w:rPr>
                <w:rFonts w:ascii="Arial Narrow" w:hAnsi="Arial Narrow" w:cs="Arial"/>
                <w:sz w:val="22"/>
                <w:szCs w:val="22"/>
                <w:u w:val="single"/>
              </w:rPr>
              <w:sym w:font="Wingdings" w:char="F0A8"/>
            </w:r>
            <w:r w:rsidR="00A24592" w:rsidRPr="00590761">
              <w:rPr>
                <w:rFonts w:ascii="Arial Narrow" w:hAnsi="Arial Narrow" w:cs="Arial"/>
                <w:sz w:val="22"/>
                <w:szCs w:val="22"/>
              </w:rPr>
              <w:t xml:space="preserve"> </w:t>
            </w:r>
            <w:r w:rsidRPr="00590761">
              <w:rPr>
                <w:rFonts w:ascii="Arial Narrow" w:hAnsi="Arial Narrow" w:cs="Arial"/>
                <w:sz w:val="22"/>
                <w:szCs w:val="22"/>
              </w:rPr>
              <w:t xml:space="preserve">PLAN or </w:t>
            </w:r>
            <w:r w:rsidR="00AA2391" w:rsidRPr="00590761">
              <w:rPr>
                <w:rFonts w:ascii="Arial Narrow" w:hAnsi="Arial Narrow" w:cs="Arial"/>
                <w:sz w:val="22"/>
                <w:szCs w:val="22"/>
              </w:rPr>
              <w:sym w:font="Wingdings" w:char="F0FE"/>
            </w:r>
            <w:r w:rsidR="00AA2391" w:rsidRPr="00590761">
              <w:rPr>
                <w:rFonts w:ascii="Arial Narrow" w:hAnsi="Arial Narrow" w:cs="Arial"/>
                <w:sz w:val="22"/>
                <w:szCs w:val="22"/>
              </w:rPr>
              <w:t xml:space="preserve"> </w:t>
            </w:r>
            <w:r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Pr="00590761">
              <w:rPr>
                <w:rFonts w:ascii="Arial Narrow" w:hAnsi="Arial Narrow" w:cs="Arial"/>
                <w:sz w:val="22"/>
                <w:szCs w:val="22"/>
              </w:rPr>
              <w:t>REPORT for July 1, 20</w:t>
            </w:r>
            <w:r w:rsidR="00FD03FE" w:rsidRPr="00590761">
              <w:rPr>
                <w:rFonts w:ascii="Arial Narrow" w:hAnsi="Arial Narrow" w:cs="Arial"/>
                <w:sz w:val="22"/>
                <w:szCs w:val="22"/>
              </w:rPr>
              <w:t>11</w:t>
            </w:r>
            <w:r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AA2391" w:rsidP="00A56487">
            <w:pPr>
              <w:rPr>
                <w:rFonts w:ascii="Arial Narrow" w:hAnsi="Arial Narrow" w:cs="Arial"/>
              </w:rPr>
            </w:pPr>
            <w:r>
              <w:rPr>
                <w:rFonts w:ascii="Arial Narrow" w:hAnsi="Arial Narrow" w:cs="Arial"/>
              </w:rPr>
              <w:t xml:space="preserve">July </w:t>
            </w:r>
            <w:r w:rsidR="00A56487">
              <w:rPr>
                <w:rFonts w:ascii="Arial Narrow" w:hAnsi="Arial Narrow" w:cs="Arial"/>
              </w:rPr>
              <w:t>2</w:t>
            </w:r>
            <w:r>
              <w:rPr>
                <w:rFonts w:ascii="Arial Narrow" w:hAnsi="Arial Narrow" w:cs="Arial"/>
              </w:rPr>
              <w:t>, 2012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B7766A" w:rsidP="00254735">
            <w:pPr>
              <w:rPr>
                <w:rFonts w:ascii="Arial Narrow" w:hAnsi="Arial Narrow"/>
              </w:rPr>
            </w:pPr>
            <w:r>
              <w:rPr>
                <w:rFonts w:ascii="Arial Narrow" w:hAnsi="Arial Narrow"/>
              </w:rPr>
              <w:t>Ann Sherman</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B7766A">
              <w:rPr>
                <w:rFonts w:ascii="Arial Narrow" w:hAnsi="Arial Narrow" w:cs="Arial"/>
                <w:b/>
                <w:sz w:val="22"/>
                <w:szCs w:val="22"/>
              </w:rPr>
              <w:t>x</w:t>
            </w:r>
            <w:r w:rsidR="007D2C63">
              <w:rPr>
                <w:rFonts w:ascii="Arial Narrow" w:hAnsi="Arial Narrow" w:cs="Arial"/>
                <w:b/>
                <w:sz w:val="22"/>
                <w:szCs w:val="22"/>
              </w:rPr>
              <w:t>_ No</w:t>
            </w:r>
          </w:p>
        </w:tc>
      </w:tr>
      <w:tr w:rsidR="00B7766A" w:rsidRPr="00E47E9A" w:rsidTr="00B7766A">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vAlign w:val="center"/>
          </w:tcPr>
          <w:p w:rsidR="00B7766A" w:rsidRPr="00943F99" w:rsidRDefault="00B7766A" w:rsidP="00B7766A">
            <w:pPr>
              <w:jc w:val="center"/>
              <w:rPr>
                <w:rFonts w:ascii="Arial Narrow" w:hAnsi="Arial Narrow" w:cs="Arial"/>
                <w:b/>
                <w:color w:val="FF0000"/>
                <w:sz w:val="20"/>
                <w:szCs w:val="20"/>
              </w:rPr>
            </w:pPr>
            <w:r w:rsidRPr="00943F99">
              <w:rPr>
                <w:rFonts w:ascii="Arial Narrow" w:hAnsi="Arial Narrow"/>
                <w:bCs/>
                <w:sz w:val="20"/>
                <w:szCs w:val="20"/>
              </w:rPr>
              <w:t xml:space="preserve">To provide Human Resources counsel to the President, Board of Trustees and other units of the University, and to develop and manage both short and long-term human resource strategies that assist the University in identifying and managing the necessary resources to achieve </w:t>
            </w:r>
            <w:r>
              <w:rPr>
                <w:rFonts w:ascii="Arial Narrow" w:hAnsi="Arial Narrow"/>
                <w:bCs/>
                <w:sz w:val="20"/>
                <w:szCs w:val="20"/>
              </w:rPr>
              <w:t xml:space="preserve">the University’s mission.  </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B7766A" w:rsidP="000A1CAE">
            <w:pPr>
              <w:ind w:left="274" w:hanging="274"/>
              <w:rPr>
                <w:rFonts w:ascii="Arial Narrow" w:hAnsi="Arial Narrow"/>
                <w:sz w:val="20"/>
                <w:szCs w:val="20"/>
              </w:rPr>
            </w:pPr>
            <w:proofErr w:type="gramStart"/>
            <w:r>
              <w:rPr>
                <w:rFonts w:ascii="Arial Narrow" w:hAnsi="Arial Narrow" w:cs="Arial"/>
                <w:b/>
                <w:sz w:val="20"/>
                <w:szCs w:val="20"/>
                <w:u w:val="single"/>
              </w:rPr>
              <w:t>x</w:t>
            </w:r>
            <w:proofErr w:type="gramEnd"/>
            <w:r w:rsidR="003135F6" w:rsidRPr="000B004B">
              <w:rPr>
                <w:rFonts w:ascii="Arial Narrow" w:hAnsi="Arial Narrow" w:cs="Arial"/>
                <w:b/>
                <w:sz w:val="20"/>
                <w:szCs w:val="20"/>
                <w:u w:val="single"/>
              </w:rPr>
              <w:sym w:font="Wingdings" w:char="F0A8"/>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003135F6" w:rsidRPr="000B004B">
              <w:rPr>
                <w:rFonts w:ascii="Arial Narrow" w:hAnsi="Arial Narrow"/>
                <w:sz w:val="20"/>
                <w:szCs w:val="20"/>
              </w:rPr>
              <w:t xml:space="preserve"> </w:t>
            </w:r>
            <w:r w:rsidR="009B18C4" w:rsidRPr="000B004B">
              <w:rPr>
                <w:rFonts w:ascii="Arial Narrow" w:hAnsi="Arial Narrow"/>
                <w:sz w:val="20"/>
                <w:szCs w:val="20"/>
              </w:rPr>
              <w:t>functions</w:t>
            </w:r>
            <w:r w:rsidR="003135F6" w:rsidRPr="000B004B">
              <w:rPr>
                <w:rFonts w:ascii="Arial Narrow" w:hAnsi="Arial Narrow"/>
                <w:sz w:val="20"/>
                <w:szCs w:val="20"/>
              </w:rPr>
              <w:t xml:space="preserve"> </w:t>
            </w:r>
            <w:r w:rsidR="00B151EB" w:rsidRPr="000B004B">
              <w:rPr>
                <w:rFonts w:ascii="Arial Narrow" w:hAnsi="Arial Narrow"/>
                <w:sz w:val="20"/>
                <w:szCs w:val="20"/>
              </w:rPr>
              <w:t>by</w:t>
            </w:r>
            <w:r w:rsidR="003135F6"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003135F6"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003135F6" w:rsidRPr="000B004B">
              <w:rPr>
                <w:rFonts w:ascii="Arial Narrow" w:hAnsi="Arial Narrow"/>
                <w:sz w:val="20"/>
                <w:szCs w:val="20"/>
              </w:rPr>
              <w:t>and department outreach.</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B7766A" w:rsidP="000A1CAE">
            <w:pPr>
              <w:ind w:left="274" w:hanging="274"/>
              <w:rPr>
                <w:rFonts w:ascii="Arial Narrow" w:hAnsi="Arial Narrow"/>
                <w:sz w:val="20"/>
                <w:szCs w:val="20"/>
              </w:rPr>
            </w:pPr>
            <w:proofErr w:type="gramStart"/>
            <w:r>
              <w:rPr>
                <w:rFonts w:ascii="Arial Narrow" w:hAnsi="Arial Narrow" w:cs="Arial"/>
                <w:b/>
                <w:sz w:val="20"/>
                <w:szCs w:val="20"/>
                <w:u w:val="single"/>
              </w:rPr>
              <w:t>x</w:t>
            </w:r>
            <w:proofErr w:type="gramEnd"/>
            <w:r w:rsidR="003135F6" w:rsidRPr="000B004B">
              <w:rPr>
                <w:rFonts w:ascii="Arial Narrow" w:hAnsi="Arial Narrow" w:cs="Arial"/>
                <w:b/>
                <w:sz w:val="20"/>
                <w:szCs w:val="20"/>
                <w:u w:val="single"/>
              </w:rPr>
              <w:sym w:font="Wingdings" w:char="F0A8"/>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003135F6" w:rsidRPr="000B004B">
              <w:rPr>
                <w:rFonts w:ascii="Arial Narrow" w:hAnsi="Arial Narrow"/>
                <w:sz w:val="20"/>
                <w:szCs w:val="20"/>
              </w:rPr>
              <w:t xml:space="preserve"> and programs</w:t>
            </w:r>
            <w:r w:rsidR="00007735" w:rsidRPr="000B004B">
              <w:rPr>
                <w:rFonts w:ascii="Arial Narrow" w:hAnsi="Arial Narrow"/>
                <w:sz w:val="20"/>
                <w:szCs w:val="20"/>
              </w:rPr>
              <w:t>.</w:t>
            </w:r>
            <w:r w:rsidR="003135F6" w:rsidRPr="000B004B">
              <w:rPr>
                <w:rFonts w:ascii="Arial Narrow" w:hAnsi="Arial Narrow"/>
                <w:sz w:val="20"/>
                <w:szCs w:val="20"/>
              </w:rPr>
              <w:t xml:space="preserve"> </w:t>
            </w:r>
          </w:p>
          <w:p w:rsidR="003135F6" w:rsidRPr="000B004B" w:rsidRDefault="00B7766A" w:rsidP="000A1CAE">
            <w:pPr>
              <w:ind w:left="274" w:hanging="274"/>
              <w:rPr>
                <w:rFonts w:ascii="Arial Narrow" w:hAnsi="Arial Narrow"/>
                <w:sz w:val="20"/>
                <w:szCs w:val="20"/>
              </w:rPr>
            </w:pPr>
            <w:proofErr w:type="gramStart"/>
            <w:r>
              <w:rPr>
                <w:rFonts w:ascii="Arial Narrow" w:hAnsi="Arial Narrow" w:cs="Arial"/>
                <w:b/>
                <w:sz w:val="20"/>
                <w:szCs w:val="20"/>
                <w:u w:val="single"/>
              </w:rPr>
              <w:t>x</w:t>
            </w:r>
            <w:proofErr w:type="gramEnd"/>
            <w:r w:rsidR="003135F6" w:rsidRPr="000B004B">
              <w:rPr>
                <w:rFonts w:ascii="Arial Narrow" w:hAnsi="Arial Narrow" w:cs="Arial"/>
                <w:b/>
                <w:sz w:val="20"/>
                <w:szCs w:val="20"/>
                <w:u w:val="single"/>
              </w:rPr>
              <w:sym w:font="Wingdings" w:char="F0A8"/>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003135F6"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B7766A" w:rsidP="000A1CAE">
            <w:pPr>
              <w:ind w:left="274" w:hanging="274"/>
              <w:rPr>
                <w:rFonts w:ascii="Arial Narrow" w:hAnsi="Arial Narrow"/>
                <w:sz w:val="20"/>
                <w:szCs w:val="20"/>
              </w:rPr>
            </w:pPr>
            <w:proofErr w:type="gramStart"/>
            <w:r>
              <w:rPr>
                <w:rFonts w:ascii="Arial Narrow" w:hAnsi="Arial Narrow" w:cs="Arial"/>
                <w:b/>
                <w:sz w:val="20"/>
                <w:szCs w:val="20"/>
                <w:u w:val="single"/>
              </w:rPr>
              <w:t>x</w:t>
            </w:r>
            <w:proofErr w:type="gramEnd"/>
            <w:r w:rsidR="003135F6" w:rsidRPr="000B004B">
              <w:rPr>
                <w:rFonts w:ascii="Arial Narrow" w:hAnsi="Arial Narrow" w:cs="Arial"/>
                <w:b/>
                <w:sz w:val="20"/>
                <w:szCs w:val="20"/>
                <w:u w:val="single"/>
              </w:rPr>
              <w:sym w:font="Wingdings" w:char="F0A8"/>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B7766A" w:rsidP="000A1CAE">
            <w:pPr>
              <w:ind w:left="274" w:hanging="274"/>
              <w:rPr>
                <w:rFonts w:ascii="Arial Narrow" w:hAnsi="Arial Narrow"/>
                <w:sz w:val="20"/>
                <w:szCs w:val="20"/>
              </w:rPr>
            </w:pPr>
            <w:proofErr w:type="gramStart"/>
            <w:r>
              <w:rPr>
                <w:rFonts w:ascii="Arial Narrow" w:hAnsi="Arial Narrow" w:cs="Arial"/>
                <w:b/>
                <w:sz w:val="20"/>
                <w:szCs w:val="20"/>
                <w:u w:val="single"/>
              </w:rPr>
              <w:t>x</w:t>
            </w:r>
            <w:proofErr w:type="gramEnd"/>
            <w:r w:rsidR="003135F6" w:rsidRPr="000B004B">
              <w:rPr>
                <w:rFonts w:ascii="Arial Narrow" w:hAnsi="Arial Narrow" w:cs="Arial"/>
                <w:b/>
                <w:sz w:val="20"/>
                <w:szCs w:val="20"/>
                <w:u w:val="single"/>
              </w:rPr>
              <w:sym w:font="Wingdings" w:char="F0A8"/>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8: Planning Continuous Improvement documents NMU’s strategic and administrative planning processes.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Pr="000B004B">
              <w:rPr>
                <w:rFonts w:ascii="Arial Narrow" w:hAnsi="Arial Narrow"/>
                <w:sz w:val="20"/>
                <w:szCs w:val="20"/>
              </w:rPr>
              <w:t>NMU</w:t>
            </w:r>
            <w:r w:rsidR="00B151EB" w:rsidRPr="000B004B">
              <w:rPr>
                <w:rFonts w:ascii="Arial Narrow" w:hAnsi="Arial Narrow"/>
                <w:sz w:val="20"/>
                <w:szCs w:val="20"/>
              </w:rPr>
              <w:t xml:space="preserve"> works </w:t>
            </w:r>
            <w:r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254735" w:rsidRDefault="005F1597" w:rsidP="005F1597">
            <w:pPr>
              <w:spacing w:after="240"/>
              <w:rPr>
                <w:rFonts w:ascii="Arial Narrow" w:hAnsi="Arial Narrow" w:cs="Arial"/>
              </w:rPr>
            </w:pPr>
            <w:r>
              <w:rPr>
                <w:rFonts w:ascii="Arial Narrow" w:hAnsi="Arial Narrow" w:cs="Arial"/>
              </w:rPr>
              <w:t xml:space="preserve">Establish a Baseline measure of </w:t>
            </w:r>
            <w:r w:rsidR="00B7766A">
              <w:rPr>
                <w:rFonts w:ascii="Arial Narrow" w:hAnsi="Arial Narrow" w:cs="Arial"/>
              </w:rPr>
              <w:t xml:space="preserve">Payroll Accuracy and </w:t>
            </w:r>
            <w:r>
              <w:rPr>
                <w:rFonts w:ascii="Arial Narrow" w:hAnsi="Arial Narrow" w:cs="Arial"/>
              </w:rPr>
              <w:t>Identify Process Contributors to Payroll Processing Delays</w:t>
            </w:r>
            <w:r w:rsidR="00CE6D49">
              <w:rPr>
                <w:rFonts w:ascii="Arial Narrow" w:hAnsi="Arial Narrow" w:cs="Arial"/>
              </w:rPr>
              <w:t xml:space="preserve"> for the purpose of identifying future process improvement efforts and objectives.  </w:t>
            </w:r>
            <w:r>
              <w:rPr>
                <w:rFonts w:ascii="Arial Narrow" w:hAnsi="Arial Narrow" w:cs="Arial"/>
              </w:rPr>
              <w:t xml:space="preserve"> </w:t>
            </w:r>
          </w:p>
          <w:p w:rsidR="00CE6D49" w:rsidRPr="009860CD" w:rsidRDefault="00CE6D49" w:rsidP="00CE6D49">
            <w:pPr>
              <w:rPr>
                <w:rFonts w:ascii="Arial Narrow" w:hAnsi="Arial Narrow"/>
              </w:rPr>
            </w:pPr>
            <w:r w:rsidRPr="009860CD">
              <w:rPr>
                <w:rFonts w:ascii="Arial Narrow" w:hAnsi="Arial Narrow"/>
                <w:i/>
                <w:sz w:val="22"/>
                <w:szCs w:val="22"/>
              </w:rPr>
              <w:t>Rationale (Why you are setting this objective? Mark with “X”)</w:t>
            </w:r>
            <w:r w:rsidRPr="009860CD">
              <w:rPr>
                <w:rFonts w:ascii="Arial Narrow" w:hAnsi="Arial Narrow"/>
                <w:sz w:val="22"/>
                <w:szCs w:val="22"/>
              </w:rPr>
              <w:t>:</w:t>
            </w:r>
          </w:p>
          <w:p w:rsidR="00CE6D49" w:rsidRPr="009860CD" w:rsidRDefault="00CE6D49" w:rsidP="00CE6D49">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Effectiveness/quality action </w:t>
            </w:r>
            <w:r w:rsidRPr="009860CD">
              <w:rPr>
                <w:rFonts w:ascii="Arial Narrow" w:hAnsi="Arial Narrow"/>
                <w:sz w:val="22"/>
                <w:szCs w:val="22"/>
                <w:u w:val="single"/>
              </w:rPr>
              <w:sym w:font="Symbol" w:char="F092"/>
            </w:r>
            <w:r w:rsidRPr="009860CD">
              <w:rPr>
                <w:rFonts w:ascii="Arial Narrow" w:hAnsi="Arial Narrow"/>
                <w:sz w:val="22"/>
                <w:szCs w:val="22"/>
              </w:rPr>
              <w:t xml:space="preserve"> Efficiency/cost action   </w:t>
            </w:r>
          </w:p>
          <w:p w:rsidR="00CE6D49" w:rsidRPr="009860CD" w:rsidRDefault="00CE6D49" w:rsidP="00CE6D49">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Pr>
                <w:rFonts w:ascii="Arial Narrow" w:hAnsi="Arial Narrow"/>
                <w:sz w:val="22"/>
                <w:szCs w:val="22"/>
              </w:rPr>
              <w:t>x</w:t>
            </w:r>
            <w:r w:rsidRPr="009860CD">
              <w:rPr>
                <w:rFonts w:ascii="Arial Narrow" w:hAnsi="Arial Narrow"/>
                <w:sz w:val="22"/>
                <w:szCs w:val="22"/>
              </w:rPr>
              <w:t xml:space="preserve"> Create baseline  </w:t>
            </w:r>
          </w:p>
          <w:p w:rsidR="00CE6D49" w:rsidRPr="009860CD" w:rsidRDefault="00CE6D49" w:rsidP="00CE6D49">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CE6D49" w:rsidRPr="009860CD" w:rsidRDefault="00CE6D49" w:rsidP="00CE6D49">
            <w:pPr>
              <w:rPr>
                <w:rFonts w:ascii="Arial Narrow" w:hAnsi="Arial Narrow"/>
              </w:rPr>
            </w:pPr>
          </w:p>
          <w:p w:rsidR="00CE6D49" w:rsidRPr="009860CD" w:rsidRDefault="00CE6D49" w:rsidP="00CE6D49">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Pr="009860CD">
              <w:rPr>
                <w:rFonts w:ascii="Arial Narrow" w:hAnsi="Arial Narrow"/>
                <w:sz w:val="22"/>
                <w:szCs w:val="22"/>
              </w:rPr>
              <w:t xml:space="preserve">:  </w:t>
            </w:r>
            <w:r>
              <w:rPr>
                <w:rFonts w:ascii="Arial Narrow" w:hAnsi="Arial Narrow"/>
                <w:sz w:val="22"/>
                <w:szCs w:val="22"/>
              </w:rPr>
              <w:t>CA-2</w:t>
            </w:r>
          </w:p>
          <w:p w:rsidR="00CE6D49" w:rsidRPr="009860CD" w:rsidRDefault="00CE6D49" w:rsidP="005F1597">
            <w:pPr>
              <w:spacing w:after="240"/>
              <w:rPr>
                <w:rFonts w:ascii="Arial Narrow" w:hAnsi="Arial Narrow" w:cs="Arial"/>
              </w:rPr>
            </w:pP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254735" w:rsidRPr="009860CD" w:rsidRDefault="00B7766A" w:rsidP="00AD3C5D">
            <w:pPr>
              <w:rPr>
                <w:rFonts w:ascii="Arial Narrow" w:hAnsi="Arial Narrow"/>
              </w:rPr>
            </w:pPr>
            <w:r>
              <w:rPr>
                <w:rFonts w:ascii="Arial Narrow" w:hAnsi="Arial Narrow" w:cs="Arial"/>
              </w:rPr>
              <w:t xml:space="preserve">We are </w:t>
            </w:r>
            <w:r w:rsidR="005F1597">
              <w:rPr>
                <w:rFonts w:ascii="Arial Narrow" w:hAnsi="Arial Narrow" w:cs="Arial"/>
              </w:rPr>
              <w:t xml:space="preserve">beginning a diagnostic assessment with the intent to </w:t>
            </w:r>
            <w:r w:rsidR="00A65E51">
              <w:rPr>
                <w:rFonts w:ascii="Arial Narrow" w:hAnsi="Arial Narrow" w:cs="Arial"/>
              </w:rPr>
              <w:t>error-proof/mistake-proof the payroll process.  While a number of</w:t>
            </w:r>
            <w:r w:rsidR="00CE6D49">
              <w:rPr>
                <w:rFonts w:ascii="Arial Narrow" w:hAnsi="Arial Narrow" w:cs="Arial"/>
              </w:rPr>
              <w:t xml:space="preserve"> accuracy and </w:t>
            </w:r>
            <w:r w:rsidR="00A65E51">
              <w:rPr>
                <w:rFonts w:ascii="Arial Narrow" w:hAnsi="Arial Narrow" w:cs="Arial"/>
              </w:rPr>
              <w:t xml:space="preserve">timeliness issues are </w:t>
            </w:r>
            <w:r w:rsidR="005F1597">
              <w:rPr>
                <w:rFonts w:ascii="Arial Narrow" w:hAnsi="Arial Narrow" w:cs="Arial"/>
              </w:rPr>
              <w:t xml:space="preserve">known to be </w:t>
            </w:r>
            <w:r w:rsidR="00A65E51">
              <w:rPr>
                <w:rFonts w:ascii="Arial Narrow" w:hAnsi="Arial Narrow" w:cs="Arial"/>
              </w:rPr>
              <w:t xml:space="preserve">associated with the </w:t>
            </w:r>
            <w:r w:rsidR="00CE6D49">
              <w:rPr>
                <w:rFonts w:ascii="Arial Narrow" w:hAnsi="Arial Narrow" w:cs="Arial"/>
              </w:rPr>
              <w:t>processing within</w:t>
            </w:r>
            <w:r w:rsidR="00A65E51">
              <w:rPr>
                <w:rFonts w:ascii="Arial Narrow" w:hAnsi="Arial Narrow" w:cs="Arial"/>
              </w:rPr>
              <w:t xml:space="preserve"> other departments </w:t>
            </w:r>
            <w:r w:rsidR="00CE6D49">
              <w:rPr>
                <w:rFonts w:ascii="Arial Narrow" w:hAnsi="Arial Narrow" w:cs="Arial"/>
              </w:rPr>
              <w:t>which</w:t>
            </w:r>
            <w:r w:rsidR="00A65E51">
              <w:rPr>
                <w:rFonts w:ascii="Arial Narrow" w:hAnsi="Arial Narrow" w:cs="Arial"/>
              </w:rPr>
              <w:t xml:space="preserve"> prepare and deliver information to the HR Office, accuracy within the system is wholly our responsibility.  The method of data collection is multi-fold:  payroll processing statistics</w:t>
            </w:r>
            <w:r w:rsidR="005F1597">
              <w:rPr>
                <w:rFonts w:ascii="Arial Narrow" w:hAnsi="Arial Narrow" w:cs="Arial"/>
              </w:rPr>
              <w:t xml:space="preserve"> conducted during each payroll processing cycle (every 2weeks)</w:t>
            </w:r>
            <w:r w:rsidR="00A65E51">
              <w:rPr>
                <w:rFonts w:ascii="Arial Narrow" w:hAnsi="Arial Narrow" w:cs="Arial"/>
              </w:rPr>
              <w:t>, audit outcomes</w:t>
            </w:r>
            <w:r w:rsidR="005F1597">
              <w:rPr>
                <w:rFonts w:ascii="Arial Narrow" w:hAnsi="Arial Narrow" w:cs="Arial"/>
              </w:rPr>
              <w:t xml:space="preserve"> (conducted by both Internal Auditor and external reviewers)</w:t>
            </w:r>
            <w:r w:rsidR="00A65E51">
              <w:rPr>
                <w:rFonts w:ascii="Arial Narrow" w:hAnsi="Arial Narrow" w:cs="Arial"/>
              </w:rPr>
              <w:t>, and customer feedback</w:t>
            </w:r>
            <w:r w:rsidR="005F1597">
              <w:rPr>
                <w:rFonts w:ascii="Arial Narrow" w:hAnsi="Arial Narrow" w:cs="Arial"/>
              </w:rPr>
              <w:t xml:space="preserve"> (calls or visits from </w:t>
            </w:r>
            <w:proofErr w:type="gramStart"/>
            <w:r w:rsidR="005F1597">
              <w:rPr>
                <w:rFonts w:ascii="Arial Narrow" w:hAnsi="Arial Narrow" w:cs="Arial"/>
              </w:rPr>
              <w:t>employees</w:t>
            </w:r>
            <w:r w:rsidR="00CE6D49">
              <w:rPr>
                <w:rFonts w:ascii="Arial Narrow" w:hAnsi="Arial Narrow" w:cs="Arial"/>
              </w:rPr>
              <w:t xml:space="preserve">  or</w:t>
            </w:r>
            <w:proofErr w:type="gramEnd"/>
            <w:r w:rsidR="00CE6D49">
              <w:rPr>
                <w:rFonts w:ascii="Arial Narrow" w:hAnsi="Arial Narrow" w:cs="Arial"/>
              </w:rPr>
              <w:t xml:space="preserve"> budget managers</w:t>
            </w:r>
            <w:r w:rsidR="005F1597">
              <w:rPr>
                <w:rFonts w:ascii="Arial Narrow" w:hAnsi="Arial Narrow" w:cs="Arial"/>
              </w:rPr>
              <w:t xml:space="preserve"> as errors are noted)</w:t>
            </w:r>
            <w:r w:rsidR="00A65E51">
              <w:rPr>
                <w:rFonts w:ascii="Arial Narrow" w:hAnsi="Arial Narrow" w:cs="Arial"/>
              </w:rPr>
              <w:t xml:space="preserve">.  </w:t>
            </w: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A56487" w:rsidRDefault="00AD3C5D" w:rsidP="00972106">
            <w:pPr>
              <w:rPr>
                <w:rFonts w:ascii="Arial Narrow" w:hAnsi="Arial Narrow"/>
                <w:sz w:val="22"/>
                <w:szCs w:val="22"/>
              </w:rPr>
            </w:pPr>
            <w:r>
              <w:rPr>
                <w:rFonts w:ascii="Arial Narrow" w:hAnsi="Arial Narrow"/>
                <w:sz w:val="22"/>
                <w:szCs w:val="22"/>
              </w:rPr>
              <w:t xml:space="preserve">A number of new reports have been developed in the past </w:t>
            </w:r>
            <w:proofErr w:type="gramStart"/>
            <w:r>
              <w:rPr>
                <w:rFonts w:ascii="Arial Narrow" w:hAnsi="Arial Narrow"/>
                <w:sz w:val="22"/>
                <w:szCs w:val="22"/>
              </w:rPr>
              <w:t>year which have</w:t>
            </w:r>
            <w:proofErr w:type="gramEnd"/>
            <w:r>
              <w:rPr>
                <w:rFonts w:ascii="Arial Narrow" w:hAnsi="Arial Narrow"/>
                <w:sz w:val="22"/>
                <w:szCs w:val="22"/>
              </w:rPr>
              <w:t xml:space="preserve"> enabled the payroll staff to identify anomalies in the payroll process and make corrections prior to the final run. </w:t>
            </w:r>
          </w:p>
          <w:p w:rsidR="007C53D1" w:rsidRPr="009860CD" w:rsidRDefault="00A56487" w:rsidP="00972106">
            <w:pPr>
              <w:rPr>
                <w:rFonts w:ascii="Arial Narrow" w:hAnsi="Arial Narrow"/>
              </w:rPr>
            </w:pPr>
            <w:r>
              <w:rPr>
                <w:rFonts w:ascii="Arial Narrow" w:hAnsi="Arial Narrow"/>
                <w:sz w:val="22"/>
                <w:szCs w:val="22"/>
              </w:rPr>
              <w:t xml:space="preserve">Internal audits identified no findings, and errors identified through customer feedback or budget manager calls/visits have been reduced.  </w:t>
            </w:r>
            <w:r w:rsidR="00AD3C5D">
              <w:rPr>
                <w:rFonts w:ascii="Arial Narrow" w:hAnsi="Arial Narrow"/>
                <w:sz w:val="22"/>
                <w:szCs w:val="22"/>
              </w:rPr>
              <w:t xml:space="preserve"> </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9860CD" w:rsidRDefault="00AD3C5D" w:rsidP="00A56487">
            <w:pPr>
              <w:rPr>
                <w:rFonts w:ascii="Arial Narrow" w:hAnsi="Arial Narrow"/>
              </w:rPr>
            </w:pPr>
            <w:r>
              <w:rPr>
                <w:rFonts w:ascii="Arial Narrow" w:hAnsi="Arial Narrow"/>
                <w:sz w:val="22"/>
                <w:szCs w:val="22"/>
              </w:rPr>
              <w:t xml:space="preserve">As a result of the new reporting mechanisms, payroll personnel are keeping error logs in order to identify recurring issues in either internal processing or external department data entry.  As a result of the error logs, outreach has been made to certain campus individuals with a recurring history of erroneous or late data entry.  In addition, </w:t>
            </w:r>
            <w:r w:rsidR="00A56487">
              <w:rPr>
                <w:rFonts w:ascii="Arial Narrow" w:hAnsi="Arial Narrow"/>
                <w:sz w:val="22"/>
                <w:szCs w:val="22"/>
              </w:rPr>
              <w:t xml:space="preserve">training materials and job aids have been provided through the </w:t>
            </w:r>
            <w:proofErr w:type="spellStart"/>
            <w:r w:rsidR="00A56487">
              <w:rPr>
                <w:rFonts w:ascii="Arial Narrow" w:hAnsi="Arial Narrow"/>
                <w:sz w:val="22"/>
                <w:szCs w:val="22"/>
              </w:rPr>
              <w:t>Ultratime</w:t>
            </w:r>
            <w:proofErr w:type="spellEnd"/>
            <w:r w:rsidR="00A56487">
              <w:rPr>
                <w:rFonts w:ascii="Arial Narrow" w:hAnsi="Arial Narrow"/>
                <w:sz w:val="22"/>
                <w:szCs w:val="22"/>
              </w:rPr>
              <w:t xml:space="preserve"> upgrade and EPAF implementation sessions.    </w:t>
            </w:r>
            <w:r>
              <w:rPr>
                <w:rFonts w:ascii="Arial Narrow" w:hAnsi="Arial Narrow"/>
                <w:sz w:val="22"/>
                <w:szCs w:val="22"/>
              </w:rPr>
              <w:t xml:space="preserve">  </w:t>
            </w: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9"/>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7C53D1" w:rsidRPr="009860CD" w:rsidTr="00E47E9A">
        <w:tc>
          <w:tcPr>
            <w:tcW w:w="5364" w:type="dxa"/>
            <w:tcBorders>
              <w:top w:val="nil"/>
              <w:left w:val="nil"/>
              <w:bottom w:val="nil"/>
              <w:right w:val="nil"/>
            </w:tcBorders>
            <w:shd w:val="clear" w:color="auto" w:fill="F2F2F2" w:themeFill="background1" w:themeFillShade="F2"/>
          </w:tcPr>
          <w:p w:rsidR="007C53D1" w:rsidRPr="009860CD" w:rsidRDefault="007C53D1" w:rsidP="0036346B">
            <w:pPr>
              <w:rPr>
                <w:rFonts w:ascii="Arial Narrow" w:hAnsi="Arial Narrow"/>
              </w:rPr>
            </w:pPr>
            <w:r w:rsidRPr="009860CD">
              <w:rPr>
                <w:rFonts w:ascii="Arial Narrow" w:hAnsi="Arial Narrow"/>
                <w:i/>
                <w:sz w:val="22"/>
                <w:szCs w:val="22"/>
              </w:rPr>
              <w:lastRenderedPageBreak/>
              <w:t>Objective</w:t>
            </w:r>
            <w:r w:rsidRPr="009860CD">
              <w:rPr>
                <w:rFonts w:ascii="Arial Narrow" w:hAnsi="Arial Narrow"/>
                <w:sz w:val="22"/>
                <w:szCs w:val="22"/>
              </w:rPr>
              <w:t xml:space="preserve"> :</w:t>
            </w:r>
          </w:p>
          <w:p w:rsidR="007C53D1" w:rsidRPr="009860CD" w:rsidRDefault="00E65DBD" w:rsidP="0036346B">
            <w:pPr>
              <w:rPr>
                <w:rFonts w:ascii="Arial Narrow" w:hAnsi="Arial Narrow"/>
              </w:rPr>
            </w:pPr>
            <w:r>
              <w:rPr>
                <w:rFonts w:ascii="Arial Narrow" w:hAnsi="Arial Narrow"/>
              </w:rPr>
              <w:t xml:space="preserve">Update </w:t>
            </w:r>
            <w:r w:rsidR="00A65E51">
              <w:rPr>
                <w:rFonts w:ascii="Arial Narrow" w:hAnsi="Arial Narrow"/>
              </w:rPr>
              <w:t>Leadership Position Descriptions across all campus leaders/supervisors</w:t>
            </w:r>
            <w:r>
              <w:rPr>
                <w:rFonts w:ascii="Arial Narrow" w:hAnsi="Arial Narrow"/>
              </w:rPr>
              <w:t xml:space="preserve"> in support of the NMU AQIP Action project:  Leading &amp; Communicating.  Completion of this objective will emphasize the fact that Communication is an essential component of every Leader’s job duties.  </w:t>
            </w:r>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A65E51" w:rsidP="0036346B">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w:t>
            </w:r>
            <w:r w:rsidR="00E65DBD">
              <w:rPr>
                <w:rFonts w:ascii="Arial Narrow" w:hAnsi="Arial Narrow"/>
                <w:sz w:val="22"/>
                <w:szCs w:val="22"/>
              </w:rPr>
              <w:t xml:space="preserve"> </w:t>
            </w:r>
            <w:r w:rsidR="007C53D1" w:rsidRPr="009860CD">
              <w:rPr>
                <w:rFonts w:ascii="Arial Narrow" w:hAnsi="Arial Narrow"/>
                <w:sz w:val="22"/>
                <w:szCs w:val="22"/>
              </w:rPr>
              <w:t xml:space="preserve">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00A65E51">
              <w:rPr>
                <w:rFonts w:ascii="Arial Narrow" w:hAnsi="Arial Narrow"/>
                <w:sz w:val="22"/>
                <w:szCs w:val="22"/>
              </w:rPr>
              <w:t>x</w:t>
            </w:r>
            <w:r w:rsidRPr="009860CD">
              <w:rPr>
                <w:rFonts w:ascii="Arial Narrow" w:hAnsi="Arial Narrow"/>
                <w:sz w:val="22"/>
                <w:szCs w:val="22"/>
              </w:rPr>
              <w:t xml:space="preserve"> </w:t>
            </w:r>
            <w:r w:rsidR="00E65DBD">
              <w:rPr>
                <w:rFonts w:ascii="Arial Narrow" w:hAnsi="Arial Narrow"/>
                <w:sz w:val="22"/>
                <w:szCs w:val="22"/>
              </w:rPr>
              <w:t xml:space="preserve"> </w:t>
            </w:r>
            <w:r w:rsidRPr="009860CD">
              <w:rPr>
                <w:rFonts w:ascii="Arial Narrow" w:hAnsi="Arial Narrow"/>
                <w:sz w:val="22"/>
                <w:szCs w:val="22"/>
              </w:rPr>
              <w:t xml:space="preserve">Create baseline  </w:t>
            </w:r>
          </w:p>
          <w:p w:rsidR="007C53D1" w:rsidRPr="009860CD" w:rsidRDefault="00E65DBD" w:rsidP="0036346B">
            <w:pPr>
              <w:rPr>
                <w:rFonts w:ascii="Arial Narrow" w:hAnsi="Arial Narrow"/>
              </w:rPr>
            </w:pPr>
            <w:r>
              <w:rPr>
                <w:rFonts w:ascii="Arial Narrow" w:hAnsi="Arial Narrow"/>
                <w:sz w:val="22"/>
                <w:szCs w:val="22"/>
                <w:u w:val="single"/>
              </w:rPr>
              <w:t xml:space="preserve">X </w:t>
            </w:r>
            <w:r w:rsidR="007C53D1" w:rsidRPr="009860CD">
              <w:rPr>
                <w:rFonts w:ascii="Arial Narrow" w:hAnsi="Arial Narrow"/>
                <w:sz w:val="22"/>
                <w:szCs w:val="22"/>
              </w:rPr>
              <w:t xml:space="preserve"> Other (explain): </w:t>
            </w:r>
            <w:r w:rsidR="00A65E51">
              <w:rPr>
                <w:rFonts w:ascii="Arial Narrow" w:hAnsi="Arial Narrow"/>
                <w:sz w:val="22"/>
                <w:szCs w:val="22"/>
              </w:rPr>
              <w:t xml:space="preserve">  Best practice in position descriptions/job details indicate updates current within 5 years.  Many of NMU’s position descriptions are decades old.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r w:rsidR="00A65E51">
              <w:rPr>
                <w:rFonts w:ascii="Arial Narrow" w:hAnsi="Arial Narrow"/>
                <w:sz w:val="22"/>
                <w:szCs w:val="22"/>
              </w:rPr>
              <w:t>I-2, ML-1, CE-2, CE-3</w:t>
            </w:r>
          </w:p>
          <w:p w:rsidR="007C53D1" w:rsidRPr="009860CD" w:rsidRDefault="007C53D1" w:rsidP="0036346B">
            <w:pPr>
              <w:rPr>
                <w:rFonts w:ascii="Arial Narrow" w:hAnsi="Arial Narrow"/>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7C53D1" w:rsidRPr="009860CD" w:rsidRDefault="007C53D1" w:rsidP="0036346B">
            <w:pPr>
              <w:pStyle w:val="Default"/>
              <w:rPr>
                <w:rFonts w:ascii="Arial Narrow" w:hAnsi="Arial Narrow" w:cs="Arial"/>
                <w:sz w:val="22"/>
                <w:szCs w:val="22"/>
              </w:rPr>
            </w:pPr>
            <w:r w:rsidRPr="009860CD">
              <w:rPr>
                <w:rFonts w:ascii="Arial Narrow" w:hAnsi="Arial Narrow" w:cs="Arial"/>
                <w:sz w:val="22"/>
                <w:szCs w:val="22"/>
              </w:rPr>
              <w:t>a.</w:t>
            </w:r>
            <w:r w:rsidR="00A65E51">
              <w:rPr>
                <w:rFonts w:ascii="Arial Narrow" w:hAnsi="Arial Narrow" w:cs="Arial"/>
                <w:sz w:val="22"/>
                <w:szCs w:val="22"/>
              </w:rPr>
              <w:t xml:space="preserve"> </w:t>
            </w:r>
            <w:r w:rsidR="00E65DBD">
              <w:rPr>
                <w:rFonts w:ascii="Arial Narrow" w:hAnsi="Arial Narrow" w:cs="Arial"/>
                <w:sz w:val="22"/>
                <w:szCs w:val="22"/>
              </w:rPr>
              <w:t xml:space="preserve"> Updates to </w:t>
            </w:r>
            <w:r w:rsidR="00A65E51">
              <w:rPr>
                <w:rFonts w:ascii="Arial Narrow" w:hAnsi="Arial Narrow" w:cs="Arial"/>
                <w:sz w:val="22"/>
                <w:szCs w:val="22"/>
              </w:rPr>
              <w:t>President’s Council</w:t>
            </w:r>
            <w:r w:rsidR="00E65DBD">
              <w:rPr>
                <w:rFonts w:ascii="Arial Narrow" w:hAnsi="Arial Narrow" w:cs="Arial"/>
                <w:sz w:val="22"/>
                <w:szCs w:val="22"/>
              </w:rPr>
              <w:t xml:space="preserve"> positions</w:t>
            </w:r>
            <w:r w:rsidR="00A65E51">
              <w:rPr>
                <w:rFonts w:ascii="Arial Narrow" w:hAnsi="Arial Narrow" w:cs="Arial"/>
                <w:sz w:val="22"/>
                <w:szCs w:val="22"/>
              </w:rPr>
              <w:t xml:space="preserve"> complete by October 31, 2011</w:t>
            </w:r>
          </w:p>
          <w:p w:rsidR="007C53D1" w:rsidRPr="009860CD" w:rsidRDefault="007C53D1" w:rsidP="0036346B">
            <w:pPr>
              <w:pStyle w:val="Default"/>
              <w:rPr>
                <w:rFonts w:ascii="Arial Narrow" w:hAnsi="Arial Narrow" w:cs="Arial"/>
                <w:sz w:val="22"/>
                <w:szCs w:val="22"/>
              </w:rPr>
            </w:pPr>
            <w:r w:rsidRPr="009860CD">
              <w:rPr>
                <w:rFonts w:ascii="Arial Narrow" w:hAnsi="Arial Narrow" w:cs="Arial"/>
                <w:sz w:val="22"/>
                <w:szCs w:val="22"/>
              </w:rPr>
              <w:t>b.</w:t>
            </w:r>
            <w:r w:rsidR="00A65E51">
              <w:rPr>
                <w:rFonts w:ascii="Arial Narrow" w:hAnsi="Arial Narrow" w:cs="Arial"/>
                <w:sz w:val="22"/>
                <w:szCs w:val="22"/>
              </w:rPr>
              <w:t xml:space="preserve">  </w:t>
            </w:r>
            <w:r w:rsidR="00E65DBD">
              <w:rPr>
                <w:rFonts w:ascii="Arial Narrow" w:hAnsi="Arial Narrow" w:cs="Arial"/>
                <w:sz w:val="22"/>
                <w:szCs w:val="22"/>
              </w:rPr>
              <w:t xml:space="preserve">Updates to </w:t>
            </w:r>
            <w:r w:rsidR="00A65E51">
              <w:rPr>
                <w:rFonts w:ascii="Arial Narrow" w:hAnsi="Arial Narrow" w:cs="Arial"/>
                <w:sz w:val="22"/>
                <w:szCs w:val="22"/>
              </w:rPr>
              <w:t>PC supervising direct reports complete by January 31, 2012</w:t>
            </w:r>
          </w:p>
          <w:p w:rsidR="007C53D1" w:rsidRPr="009860CD"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 xml:space="preserve">c. </w:t>
            </w:r>
            <w:r w:rsidR="00A65E51">
              <w:rPr>
                <w:rFonts w:ascii="Arial Narrow" w:hAnsi="Arial Narrow" w:cs="Arial"/>
                <w:sz w:val="22"/>
                <w:szCs w:val="22"/>
              </w:rPr>
              <w:t xml:space="preserve"> Remainder</w:t>
            </w:r>
            <w:proofErr w:type="gramEnd"/>
            <w:r w:rsidR="00A65E51">
              <w:rPr>
                <w:rFonts w:ascii="Arial Narrow" w:hAnsi="Arial Narrow" w:cs="Arial"/>
                <w:sz w:val="22"/>
                <w:szCs w:val="22"/>
              </w:rPr>
              <w:t xml:space="preserve"> complete by June 30, 2012</w:t>
            </w:r>
            <w:r w:rsidR="00E65DBD">
              <w:rPr>
                <w:rFonts w:ascii="Arial Narrow" w:hAnsi="Arial Narrow" w:cs="Arial"/>
                <w:sz w:val="22"/>
                <w:szCs w:val="22"/>
              </w:rPr>
              <w:t xml:space="preserve"> </w:t>
            </w:r>
            <w:r w:rsidRPr="009860CD">
              <w:rPr>
                <w:rFonts w:ascii="Arial Narrow" w:hAnsi="Arial Narrow" w:cs="Arial"/>
                <w:sz w:val="22"/>
                <w:szCs w:val="22"/>
              </w:rPr>
              <w:t>.</w:t>
            </w:r>
          </w:p>
          <w:p w:rsidR="007C53D1" w:rsidRPr="009860CD" w:rsidRDefault="007C53D1" w:rsidP="0036346B">
            <w:pPr>
              <w:pStyle w:val="Default"/>
              <w:rPr>
                <w:rFonts w:ascii="Arial Narrow" w:hAnsi="Arial Narrow" w:cs="Arial"/>
                <w:sz w:val="22"/>
                <w:szCs w:val="22"/>
              </w:rPr>
            </w:pPr>
          </w:p>
          <w:p w:rsidR="007C53D1" w:rsidRPr="009860CD"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w:t>
            </w:r>
            <w:proofErr w:type="gramStart"/>
            <w:r w:rsidRPr="009860CD">
              <w:rPr>
                <w:rFonts w:ascii="Arial Narrow" w:hAnsi="Arial Narrow" w:cs="Arial"/>
                <w:i/>
                <w:sz w:val="22"/>
                <w:szCs w:val="22"/>
              </w:rPr>
              <w:t>is the desired and/or minimum target criteria</w:t>
            </w:r>
            <w:proofErr w:type="gramEnd"/>
            <w:r w:rsidRPr="009860CD">
              <w:rPr>
                <w:rFonts w:ascii="Arial Narrow" w:hAnsi="Arial Narrow" w:cs="Arial"/>
                <w:i/>
                <w:sz w:val="22"/>
                <w:szCs w:val="22"/>
              </w:rPr>
              <w:t xml:space="preserve"> </w:t>
            </w:r>
            <w:r w:rsidR="00122E20" w:rsidRPr="009860CD">
              <w:rPr>
                <w:rFonts w:ascii="Arial Narrow" w:hAnsi="Arial Narrow" w:cs="Arial"/>
                <w:i/>
                <w:sz w:val="22"/>
                <w:szCs w:val="22"/>
              </w:rPr>
              <w:t xml:space="preserve">for savings in time or cost? If the rationale was Satisfaction, what </w:t>
            </w:r>
            <w:proofErr w:type="gramStart"/>
            <w:r w:rsidR="00122E20" w:rsidRPr="009860CD">
              <w:rPr>
                <w:rFonts w:ascii="Arial Narrow" w:hAnsi="Arial Narrow" w:cs="Arial"/>
                <w:i/>
                <w:sz w:val="22"/>
                <w:szCs w:val="22"/>
              </w:rPr>
              <w:t>is</w:t>
            </w:r>
            <w:proofErr w:type="gramEnd"/>
            <w:r w:rsidR="00122E20" w:rsidRPr="009860CD">
              <w:rPr>
                <w:rFonts w:ascii="Arial Narrow" w:hAnsi="Arial Narrow" w:cs="Arial"/>
                <w:i/>
                <w:sz w:val="22"/>
                <w:szCs w:val="22"/>
              </w:rPr>
              <w:t xml:space="preserve"> the measure and what increase is desired</w:t>
            </w:r>
            <w:r w:rsidR="00122E20" w:rsidRPr="009860CD">
              <w:rPr>
                <w:rFonts w:ascii="Arial Narrow" w:hAnsi="Arial Narrow" w:cs="Arial"/>
                <w:sz w:val="22"/>
                <w:szCs w:val="22"/>
              </w:rPr>
              <w:t>?</w:t>
            </w:r>
          </w:p>
          <w:p w:rsidR="00824F9B" w:rsidRDefault="00824F9B" w:rsidP="00824F9B">
            <w:pPr>
              <w:pStyle w:val="Default"/>
              <w:rPr>
                <w:rFonts w:ascii="Arial Narrow" w:hAnsi="Arial Narrow"/>
                <w:sz w:val="22"/>
                <w:szCs w:val="22"/>
              </w:rPr>
            </w:pPr>
          </w:p>
          <w:p w:rsidR="00A65E51" w:rsidRPr="009860CD" w:rsidRDefault="00A65E51" w:rsidP="00E65DBD">
            <w:pPr>
              <w:pStyle w:val="Default"/>
              <w:rPr>
                <w:rFonts w:ascii="Arial Narrow" w:hAnsi="Arial Narrow"/>
                <w:sz w:val="22"/>
                <w:szCs w:val="22"/>
              </w:rPr>
            </w:pPr>
            <w:r>
              <w:rPr>
                <w:rFonts w:ascii="Arial Narrow" w:hAnsi="Arial Narrow"/>
                <w:sz w:val="22"/>
                <w:szCs w:val="22"/>
              </w:rPr>
              <w:t xml:space="preserve">We need to establish a baseline of currency with regard to the position descriptions in </w:t>
            </w:r>
            <w:proofErr w:type="spellStart"/>
            <w:r>
              <w:rPr>
                <w:rFonts w:ascii="Arial Narrow" w:hAnsi="Arial Narrow"/>
                <w:sz w:val="22"/>
                <w:szCs w:val="22"/>
              </w:rPr>
              <w:t>PeopleAdmin</w:t>
            </w:r>
            <w:proofErr w:type="spellEnd"/>
            <w:r>
              <w:rPr>
                <w:rFonts w:ascii="Arial Narrow" w:hAnsi="Arial Narrow"/>
                <w:sz w:val="22"/>
                <w:szCs w:val="22"/>
              </w:rPr>
              <w:t xml:space="preserve">.  This objective also aligns with NMU’s overall AQIP project of Leading &amp; Communicating, as updated descriptions will clearly indicate expectations of leadership communications.  Success will be indicated by a) % completion of the above objective, b) progress against the overall AQIP Project goal.  </w:t>
            </w:r>
          </w:p>
        </w:tc>
      </w:tr>
      <w:tr w:rsidR="007C53D1" w:rsidRPr="009860CD" w:rsidTr="00254735">
        <w:tc>
          <w:tcPr>
            <w:tcW w:w="5364" w:type="dxa"/>
            <w:tcBorders>
              <w:top w:val="nil"/>
              <w:left w:val="nil"/>
              <w:bottom w:val="nil"/>
              <w:right w:val="nil"/>
            </w:tcBorders>
            <w:vAlign w:val="center"/>
          </w:tcPr>
          <w:p w:rsidR="007C53D1" w:rsidRPr="009860CD" w:rsidRDefault="007C53D1" w:rsidP="00AA2391">
            <w:pPr>
              <w:spacing w:beforeLines="60" w:after="120"/>
              <w:rPr>
                <w:rFonts w:ascii="Arial Narrow" w:hAnsi="Arial Narrow" w:cs="Arial"/>
                <w:b/>
              </w:rPr>
            </w:pPr>
            <w:r w:rsidRPr="009860CD">
              <w:rPr>
                <w:rFonts w:ascii="Arial Narrow" w:hAnsi="Arial Narrow" w:cs="Arial"/>
                <w:b/>
                <w:sz w:val="22"/>
                <w:szCs w:val="22"/>
              </w:rPr>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AA2391">
            <w:pPr>
              <w:spacing w:beforeLines="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AA2391">
            <w:pPr>
              <w:spacing w:beforeLines="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9E6AC3" w:rsidRPr="009E6AC3" w:rsidRDefault="009E6AC3" w:rsidP="009E6AC3">
            <w:pPr>
              <w:pStyle w:val="ListParagraph"/>
              <w:numPr>
                <w:ilvl w:val="0"/>
                <w:numId w:val="2"/>
              </w:numPr>
              <w:rPr>
                <w:rFonts w:ascii="Arial Narrow" w:hAnsi="Arial Narrow"/>
              </w:rPr>
            </w:pPr>
            <w:r>
              <w:rPr>
                <w:rFonts w:ascii="Arial Narrow" w:hAnsi="Arial Narrow"/>
                <w:sz w:val="22"/>
                <w:szCs w:val="22"/>
              </w:rPr>
              <w:t xml:space="preserve"> Accomplished.  </w:t>
            </w:r>
            <w:r w:rsidRPr="009E6AC3">
              <w:rPr>
                <w:rFonts w:ascii="Arial Narrow" w:hAnsi="Arial Narrow"/>
                <w:sz w:val="22"/>
                <w:szCs w:val="22"/>
              </w:rPr>
              <w:t xml:space="preserve">Evidence from the </w:t>
            </w:r>
            <w:proofErr w:type="spellStart"/>
            <w:r w:rsidRPr="009E6AC3">
              <w:rPr>
                <w:rFonts w:ascii="Arial Narrow" w:hAnsi="Arial Narrow"/>
                <w:sz w:val="22"/>
                <w:szCs w:val="22"/>
              </w:rPr>
              <w:t>PeopleAdmin</w:t>
            </w:r>
            <w:proofErr w:type="spellEnd"/>
            <w:r w:rsidRPr="009E6AC3">
              <w:rPr>
                <w:rFonts w:ascii="Arial Narrow" w:hAnsi="Arial Narrow"/>
                <w:sz w:val="22"/>
                <w:szCs w:val="22"/>
              </w:rPr>
              <w:t xml:space="preserve"> system </w:t>
            </w:r>
            <w:proofErr w:type="gramStart"/>
            <w:r w:rsidRPr="009E6AC3">
              <w:rPr>
                <w:rFonts w:ascii="Arial Narrow" w:hAnsi="Arial Narrow"/>
                <w:sz w:val="22"/>
                <w:szCs w:val="22"/>
              </w:rPr>
              <w:t>indicate</w:t>
            </w:r>
            <w:proofErr w:type="gramEnd"/>
            <w:r w:rsidRPr="009E6AC3">
              <w:rPr>
                <w:rFonts w:ascii="Arial Narrow" w:hAnsi="Arial Narrow"/>
                <w:sz w:val="22"/>
                <w:szCs w:val="22"/>
              </w:rPr>
              <w:t xml:space="preserve"> that 100% of the President’s Council leadership positions had updates to their position description completed in the fall of 2011. </w:t>
            </w:r>
          </w:p>
          <w:p w:rsidR="007C53D1" w:rsidRPr="009E6AC3" w:rsidRDefault="009E6AC3" w:rsidP="009E6AC3">
            <w:pPr>
              <w:pStyle w:val="ListParagraph"/>
              <w:numPr>
                <w:ilvl w:val="0"/>
                <w:numId w:val="2"/>
              </w:numPr>
              <w:rPr>
                <w:rFonts w:ascii="Arial Narrow" w:hAnsi="Arial Narrow"/>
              </w:rPr>
            </w:pPr>
            <w:r w:rsidRPr="009E6AC3">
              <w:rPr>
                <w:rFonts w:ascii="Arial Narrow" w:hAnsi="Arial Narrow"/>
                <w:sz w:val="22"/>
                <w:szCs w:val="22"/>
              </w:rPr>
              <w:t xml:space="preserve"> </w:t>
            </w:r>
            <w:r>
              <w:rPr>
                <w:rFonts w:ascii="Arial Narrow" w:hAnsi="Arial Narrow"/>
                <w:sz w:val="22"/>
                <w:szCs w:val="22"/>
              </w:rPr>
              <w:t>Updates to the PC supervising direct reports have been achieved as positions have become available, with some proactive actions taken on a sporadic basis.</w:t>
            </w:r>
            <w:r w:rsidR="00CD4FED">
              <w:rPr>
                <w:rFonts w:ascii="Arial Narrow" w:hAnsi="Arial Narrow"/>
                <w:sz w:val="22"/>
                <w:szCs w:val="22"/>
              </w:rPr>
              <w:t xml:space="preserve">  One of the recommendations from the AQIP Leading &amp; Communicating project (regarding job analysis for academic department heads) has a large impact on the accomplishment of this goal, and it was not deemed appropriate to pursue this until that recommendation is acted upon (or decided otherwise).  </w:t>
            </w:r>
          </w:p>
          <w:p w:rsidR="009E6AC3" w:rsidRPr="009E6AC3" w:rsidRDefault="009E6AC3" w:rsidP="009E6AC3">
            <w:pPr>
              <w:pStyle w:val="ListParagraph"/>
              <w:numPr>
                <w:ilvl w:val="0"/>
                <w:numId w:val="2"/>
              </w:numPr>
              <w:rPr>
                <w:rFonts w:ascii="Arial Narrow" w:hAnsi="Arial Narrow"/>
              </w:rPr>
            </w:pPr>
            <w:r>
              <w:rPr>
                <w:rFonts w:ascii="Arial Narrow" w:hAnsi="Arial Narrow"/>
                <w:sz w:val="22"/>
                <w:szCs w:val="22"/>
              </w:rPr>
              <w:t xml:space="preserve">The </w:t>
            </w:r>
            <w:proofErr w:type="gramStart"/>
            <w:r>
              <w:rPr>
                <w:rFonts w:ascii="Arial Narrow" w:hAnsi="Arial Narrow"/>
                <w:sz w:val="22"/>
                <w:szCs w:val="22"/>
              </w:rPr>
              <w:t>remainder of the leadership positions are</w:t>
            </w:r>
            <w:proofErr w:type="gramEnd"/>
            <w:r>
              <w:rPr>
                <w:rFonts w:ascii="Arial Narrow" w:hAnsi="Arial Narrow"/>
                <w:sz w:val="22"/>
                <w:szCs w:val="22"/>
              </w:rPr>
              <w:t xml:space="preserve"> in union-represented positions, and are dependent on an upcoming 2012 negotiation.  While a few of these have been accomplished due to position postings, incumbents have not yet been asked to systematically </w:t>
            </w:r>
            <w:r>
              <w:rPr>
                <w:rFonts w:ascii="Arial Narrow" w:hAnsi="Arial Narrow"/>
                <w:sz w:val="22"/>
                <w:szCs w:val="22"/>
              </w:rPr>
              <w:lastRenderedPageBreak/>
              <w:t xml:space="preserve">make updates.  </w:t>
            </w: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Default="009E6AC3" w:rsidP="0036346B">
            <w:pPr>
              <w:rPr>
                <w:rFonts w:ascii="Arial Narrow" w:hAnsi="Arial Narrow"/>
                <w:sz w:val="22"/>
                <w:szCs w:val="22"/>
              </w:rPr>
            </w:pPr>
            <w:r>
              <w:rPr>
                <w:rFonts w:ascii="Arial Narrow" w:hAnsi="Arial Narrow"/>
                <w:sz w:val="22"/>
                <w:szCs w:val="22"/>
              </w:rPr>
              <w:t xml:space="preserve">Accomplishment of the President’s Council position updates has increased the campus awareness of the NMU Leadership Model, and reinforced the AQIP project of Leading &amp; Communicating.  </w:t>
            </w:r>
          </w:p>
          <w:p w:rsidR="009E6AC3" w:rsidRPr="009860CD" w:rsidRDefault="009E6AC3" w:rsidP="0036346B">
            <w:pPr>
              <w:rPr>
                <w:rFonts w:ascii="Arial Narrow" w:hAnsi="Arial Narrow"/>
              </w:rPr>
            </w:pPr>
            <w:r>
              <w:rPr>
                <w:rFonts w:ascii="Arial Narrow" w:hAnsi="Arial Narrow"/>
                <w:sz w:val="22"/>
                <w:szCs w:val="22"/>
              </w:rPr>
              <w:t>As a result of the Leading &amp; Communicating project</w:t>
            </w:r>
            <w:r w:rsidR="00CD4FED">
              <w:rPr>
                <w:rFonts w:ascii="Arial Narrow" w:hAnsi="Arial Narrow"/>
                <w:sz w:val="22"/>
                <w:szCs w:val="22"/>
              </w:rPr>
              <w:t xml:space="preserve"> </w:t>
            </w:r>
            <w:proofErr w:type="gramStart"/>
            <w:r w:rsidR="00CD4FED">
              <w:rPr>
                <w:rFonts w:ascii="Arial Narrow" w:hAnsi="Arial Narrow"/>
                <w:sz w:val="22"/>
                <w:szCs w:val="22"/>
              </w:rPr>
              <w:t>committee</w:t>
            </w:r>
            <w:r>
              <w:rPr>
                <w:rFonts w:ascii="Arial Narrow" w:hAnsi="Arial Narrow"/>
                <w:sz w:val="22"/>
                <w:szCs w:val="22"/>
              </w:rPr>
              <w:t>,</w:t>
            </w:r>
            <w:proofErr w:type="gramEnd"/>
            <w:r w:rsidR="00CD4FED">
              <w:rPr>
                <w:rFonts w:ascii="Arial Narrow" w:hAnsi="Arial Narrow"/>
                <w:sz w:val="22"/>
                <w:szCs w:val="22"/>
              </w:rPr>
              <w:t xml:space="preserve"> a lot of discussion has resulted in a recommendation to undertake a job analysis project regarding the role and scope of the academic department head positions.  A baseline has clearly been established, and has highlighted the role conflict inherent in the position as is currently designed.  This is a campus-wide initiative which will affect more than Human Resources.  Until a determination is made regarding that recommendation, any assessment of this result must be held in abeyance</w:t>
            </w:r>
            <w:r w:rsidR="00AD3C5D">
              <w:rPr>
                <w:rFonts w:ascii="Arial Narrow" w:hAnsi="Arial Narrow"/>
                <w:sz w:val="22"/>
                <w:szCs w:val="22"/>
              </w:rPr>
              <w:t xml:space="preserve">, as we await a Request for Proposal in order to ascertain how HR will assist, and any associated unit service improvement going forward.  Should a decision NOT to pursue the recommendation be made, Human Resources will again actively pursue systematic updates to leadership positions.    </w:t>
            </w:r>
            <w:r>
              <w:rPr>
                <w:rFonts w:ascii="Arial Narrow" w:hAnsi="Arial Narrow"/>
                <w:sz w:val="22"/>
                <w:szCs w:val="22"/>
              </w:rPr>
              <w:t xml:space="preserve"> </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rsidTr="00E47E9A">
        <w:tc>
          <w:tcPr>
            <w:tcW w:w="5364" w:type="dxa"/>
            <w:tcBorders>
              <w:top w:val="nil"/>
              <w:left w:val="nil"/>
              <w:bottom w:val="nil"/>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r w:rsidR="00A65E51">
              <w:rPr>
                <w:rFonts w:ascii="Arial Narrow" w:hAnsi="Arial Narrow"/>
                <w:sz w:val="22"/>
                <w:szCs w:val="22"/>
              </w:rPr>
              <w:t xml:space="preserve">  </w:t>
            </w:r>
            <w:r w:rsidR="00DC0F4F">
              <w:rPr>
                <w:rFonts w:ascii="Arial Narrow" w:hAnsi="Arial Narrow"/>
                <w:sz w:val="22"/>
                <w:szCs w:val="22"/>
              </w:rPr>
              <w:t xml:space="preserve">To </w:t>
            </w:r>
            <w:r w:rsidR="00E65DBD">
              <w:rPr>
                <w:rFonts w:ascii="Arial Narrow" w:hAnsi="Arial Narrow"/>
                <w:sz w:val="22"/>
                <w:szCs w:val="22"/>
              </w:rPr>
              <w:t>identify</w:t>
            </w:r>
            <w:r w:rsidR="00DC0F4F">
              <w:rPr>
                <w:rFonts w:ascii="Arial Narrow" w:hAnsi="Arial Narrow"/>
                <w:sz w:val="22"/>
                <w:szCs w:val="22"/>
              </w:rPr>
              <w:t xml:space="preserve"> additional self-service options for employees</w:t>
            </w:r>
            <w:r w:rsidR="00E65DBD">
              <w:rPr>
                <w:rFonts w:ascii="Arial Narrow" w:hAnsi="Arial Narrow"/>
                <w:sz w:val="22"/>
                <w:szCs w:val="22"/>
              </w:rPr>
              <w:t xml:space="preserve"> within Banner</w:t>
            </w:r>
            <w:r w:rsidR="00DC0F4F">
              <w:rPr>
                <w:rFonts w:ascii="Arial Narrow" w:hAnsi="Arial Narrow"/>
                <w:sz w:val="22"/>
                <w:szCs w:val="22"/>
              </w:rPr>
              <w:t>, particularly with regard to benefits-related information</w:t>
            </w:r>
            <w:r w:rsidR="00343B5E">
              <w:rPr>
                <w:rFonts w:ascii="Arial Narrow" w:hAnsi="Arial Narrow"/>
                <w:sz w:val="22"/>
                <w:szCs w:val="22"/>
              </w:rPr>
              <w:t xml:space="preserve"> in order to provide expanded employee access and reduce duplicate data entry</w:t>
            </w:r>
            <w:r w:rsidR="00DC0F4F">
              <w:rPr>
                <w:rFonts w:ascii="Arial Narrow" w:hAnsi="Arial Narrow"/>
                <w:sz w:val="22"/>
                <w:szCs w:val="22"/>
              </w:rPr>
              <w:t>.</w:t>
            </w:r>
          </w:p>
          <w:p w:rsidR="007C53D1" w:rsidRPr="009860CD" w:rsidRDefault="007C53D1" w:rsidP="00972106">
            <w:pPr>
              <w:rPr>
                <w:rFonts w:ascii="Arial Narrow" w:hAnsi="Arial Narrow"/>
              </w:rPr>
            </w:pP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DC0F4F" w:rsidP="00972106">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Effectiveness/quality action </w:t>
            </w:r>
            <w:r>
              <w:rPr>
                <w:rFonts w:ascii="Arial Narrow" w:hAnsi="Arial Narrow"/>
                <w:sz w:val="22"/>
                <w:szCs w:val="22"/>
              </w:rPr>
              <w:t>x</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r w:rsidR="00DC0F4F">
              <w:rPr>
                <w:rFonts w:ascii="Arial Narrow" w:hAnsi="Arial Narrow"/>
                <w:sz w:val="22"/>
                <w:szCs w:val="22"/>
              </w:rPr>
              <w:t xml:space="preserve">ML-1, CA-2, </w:t>
            </w:r>
          </w:p>
          <w:p w:rsidR="007C53D1" w:rsidRPr="009860CD" w:rsidRDefault="007C53D1" w:rsidP="00972106">
            <w:pPr>
              <w:rPr>
                <w:rFonts w:ascii="Arial Narrow" w:hAnsi="Arial Narrow"/>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a.</w:t>
            </w:r>
            <w:r w:rsidR="00DC0F4F">
              <w:rPr>
                <w:rFonts w:ascii="Arial Narrow" w:hAnsi="Arial Narrow" w:cs="Arial"/>
                <w:sz w:val="22"/>
                <w:szCs w:val="22"/>
              </w:rPr>
              <w:t xml:space="preserve">  Identify potential self-service options and highest priority approaches, based on feasibility analysis by November 15, 2011</w:t>
            </w:r>
          </w:p>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b.</w:t>
            </w:r>
            <w:r w:rsidR="00DC0F4F">
              <w:rPr>
                <w:rFonts w:ascii="Arial Narrow" w:hAnsi="Arial Narrow" w:cs="Arial"/>
                <w:sz w:val="22"/>
                <w:szCs w:val="22"/>
              </w:rPr>
              <w:t xml:space="preserve"> Establish project timeline and IT resource allocations by January 5, 2012.</w:t>
            </w:r>
          </w:p>
          <w:p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 xml:space="preserve">c. </w:t>
            </w:r>
            <w:r w:rsidR="00DC0F4F">
              <w:rPr>
                <w:rFonts w:ascii="Arial Narrow" w:hAnsi="Arial Narrow" w:cs="Arial"/>
                <w:sz w:val="22"/>
                <w:szCs w:val="22"/>
              </w:rPr>
              <w:t xml:space="preserve"> Prepare</w:t>
            </w:r>
            <w:proofErr w:type="gramEnd"/>
            <w:r w:rsidR="00DC0F4F">
              <w:rPr>
                <w:rFonts w:ascii="Arial Narrow" w:hAnsi="Arial Narrow" w:cs="Arial"/>
                <w:sz w:val="22"/>
                <w:szCs w:val="22"/>
              </w:rPr>
              <w:t xml:space="preserve"> self-service open-enrollment by November 1, 2012.</w:t>
            </w:r>
            <w:r w:rsidRPr="009860CD">
              <w:rPr>
                <w:rFonts w:ascii="Arial Narrow" w:hAnsi="Arial Narrow" w:cs="Arial"/>
                <w:sz w:val="22"/>
                <w:szCs w:val="22"/>
              </w:rPr>
              <w:br/>
              <w:t>etc.</w:t>
            </w:r>
          </w:p>
          <w:p w:rsidR="007C53D1" w:rsidRPr="009860CD" w:rsidRDefault="007C53D1" w:rsidP="00972106">
            <w:pPr>
              <w:pStyle w:val="Default"/>
              <w:rPr>
                <w:rFonts w:ascii="Arial Narrow" w:hAnsi="Arial Narrow" w:cs="Arial"/>
                <w:sz w:val="22"/>
                <w:szCs w:val="22"/>
              </w:rPr>
            </w:pPr>
          </w:p>
          <w:p w:rsidR="007C53D1" w:rsidRPr="009860CD" w:rsidRDefault="0078704B" w:rsidP="00972106">
            <w:pPr>
              <w:pStyle w:val="Default"/>
              <w:rPr>
                <w:rFonts w:ascii="Arial Narrow" w:hAnsi="Arial Narrow"/>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7C53D1" w:rsidRDefault="00DC0F4F" w:rsidP="00972106">
            <w:pPr>
              <w:pStyle w:val="Default"/>
              <w:rPr>
                <w:rFonts w:ascii="Arial Narrow" w:hAnsi="Arial Narrow"/>
                <w:sz w:val="22"/>
                <w:szCs w:val="22"/>
              </w:rPr>
            </w:pPr>
            <w:r>
              <w:rPr>
                <w:rFonts w:ascii="Arial Narrow" w:hAnsi="Arial Narrow"/>
                <w:sz w:val="22"/>
                <w:szCs w:val="22"/>
              </w:rPr>
              <w:t xml:space="preserve"> </w:t>
            </w:r>
          </w:p>
          <w:p w:rsidR="00DC0F4F" w:rsidRPr="009860CD" w:rsidRDefault="00DC0F4F" w:rsidP="005B18E3">
            <w:pPr>
              <w:pStyle w:val="Default"/>
              <w:rPr>
                <w:rFonts w:ascii="Arial Narrow" w:hAnsi="Arial Narrow"/>
                <w:sz w:val="22"/>
                <w:szCs w:val="22"/>
              </w:rPr>
            </w:pPr>
            <w:r>
              <w:rPr>
                <w:rFonts w:ascii="Arial Narrow" w:hAnsi="Arial Narrow"/>
                <w:sz w:val="22"/>
                <w:szCs w:val="22"/>
              </w:rPr>
              <w:t xml:space="preserve">This objective will be met if errors are reduced/eliminated, and if service levels are maintained.  </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Default="00AA2391" w:rsidP="00AA2391">
            <w:pPr>
              <w:pStyle w:val="ListParagraph"/>
              <w:numPr>
                <w:ilvl w:val="0"/>
                <w:numId w:val="1"/>
              </w:numPr>
              <w:rPr>
                <w:rFonts w:ascii="Arial Narrow" w:hAnsi="Arial Narrow"/>
                <w:sz w:val="22"/>
                <w:szCs w:val="22"/>
              </w:rPr>
            </w:pPr>
            <w:r>
              <w:rPr>
                <w:rFonts w:ascii="Arial Narrow" w:hAnsi="Arial Narrow"/>
                <w:sz w:val="22"/>
                <w:szCs w:val="22"/>
              </w:rPr>
              <w:t xml:space="preserve">Accomplished:  </w:t>
            </w:r>
            <w:r w:rsidRPr="00AA2391">
              <w:rPr>
                <w:rFonts w:ascii="Arial Narrow" w:hAnsi="Arial Narrow"/>
                <w:sz w:val="22"/>
                <w:szCs w:val="22"/>
              </w:rPr>
              <w:t>Potential self-service options were identified and prioritized, based on the Banner HRIS module capability and the availability of NMU IT and HR resources.</w:t>
            </w:r>
          </w:p>
          <w:p w:rsidR="00502227" w:rsidRDefault="009E6AC3" w:rsidP="00AA2391">
            <w:pPr>
              <w:pStyle w:val="ListParagraph"/>
              <w:numPr>
                <w:ilvl w:val="0"/>
                <w:numId w:val="1"/>
              </w:numPr>
              <w:rPr>
                <w:rFonts w:ascii="Arial Narrow" w:hAnsi="Arial Narrow"/>
                <w:sz w:val="22"/>
                <w:szCs w:val="22"/>
              </w:rPr>
            </w:pPr>
            <w:r>
              <w:rPr>
                <w:rFonts w:ascii="Arial Narrow" w:hAnsi="Arial Narrow"/>
                <w:sz w:val="22"/>
                <w:szCs w:val="22"/>
              </w:rPr>
              <w:t xml:space="preserve">Accomplished:  </w:t>
            </w:r>
            <w:r w:rsidR="00502227">
              <w:rPr>
                <w:rFonts w:ascii="Arial Narrow" w:hAnsi="Arial Narrow"/>
                <w:sz w:val="22"/>
                <w:szCs w:val="22"/>
              </w:rPr>
              <w:t xml:space="preserve">Internal resources have enabled self-service activities on electronic personnel files, and a newly-created total compensation statement.  </w:t>
            </w:r>
          </w:p>
          <w:p w:rsidR="00AA2391" w:rsidRPr="00AA2391" w:rsidRDefault="009E6AC3" w:rsidP="00AA2391">
            <w:pPr>
              <w:pStyle w:val="ListParagraph"/>
              <w:numPr>
                <w:ilvl w:val="0"/>
                <w:numId w:val="1"/>
              </w:numPr>
              <w:rPr>
                <w:rFonts w:ascii="Arial Narrow" w:hAnsi="Arial Narrow"/>
                <w:sz w:val="22"/>
                <w:szCs w:val="22"/>
              </w:rPr>
            </w:pPr>
            <w:r>
              <w:rPr>
                <w:rFonts w:ascii="Arial Narrow" w:hAnsi="Arial Narrow"/>
                <w:sz w:val="22"/>
                <w:szCs w:val="22"/>
              </w:rPr>
              <w:t xml:space="preserve">Postponed:  </w:t>
            </w:r>
            <w:r w:rsidR="00AA2391">
              <w:rPr>
                <w:rFonts w:ascii="Arial Narrow" w:hAnsi="Arial Narrow"/>
                <w:sz w:val="22"/>
                <w:szCs w:val="22"/>
              </w:rPr>
              <w:t>The project timeline</w:t>
            </w:r>
            <w:r w:rsidR="00502227">
              <w:rPr>
                <w:rFonts w:ascii="Arial Narrow" w:hAnsi="Arial Narrow"/>
                <w:sz w:val="22"/>
                <w:szCs w:val="22"/>
              </w:rPr>
              <w:t xml:space="preserve"> for benefits open enrollment, originally planned for November 1, 2012</w:t>
            </w:r>
            <w:r w:rsidR="00AA2391">
              <w:rPr>
                <w:rFonts w:ascii="Arial Narrow" w:hAnsi="Arial Narrow"/>
                <w:sz w:val="22"/>
                <w:szCs w:val="22"/>
              </w:rPr>
              <w:t xml:space="preserve"> is delayed due to the availability of an external consulting resource, which is currently scheduled for</w:t>
            </w:r>
            <w:r w:rsidR="00502227">
              <w:rPr>
                <w:rFonts w:ascii="Arial Narrow" w:hAnsi="Arial Narrow"/>
                <w:sz w:val="22"/>
                <w:szCs w:val="22"/>
              </w:rPr>
              <w:t xml:space="preserve"> March, 2013 and personnel needs within the HR department.</w:t>
            </w:r>
            <w:r>
              <w:rPr>
                <w:rFonts w:ascii="Arial Narrow" w:hAnsi="Arial Narrow"/>
                <w:sz w:val="22"/>
                <w:szCs w:val="22"/>
              </w:rPr>
              <w:t xml:space="preserve">  This objective will be brought forward in the 2012-13 </w:t>
            </w:r>
            <w:proofErr w:type="gramStart"/>
            <w:r>
              <w:rPr>
                <w:rFonts w:ascii="Arial Narrow" w:hAnsi="Arial Narrow"/>
                <w:sz w:val="22"/>
                <w:szCs w:val="22"/>
              </w:rPr>
              <w:t>plan</w:t>
            </w:r>
            <w:proofErr w:type="gramEnd"/>
            <w:r>
              <w:rPr>
                <w:rFonts w:ascii="Arial Narrow" w:hAnsi="Arial Narrow"/>
                <w:sz w:val="22"/>
                <w:szCs w:val="22"/>
              </w:rPr>
              <w:t xml:space="preserve">.  </w:t>
            </w:r>
            <w:r w:rsidR="00502227">
              <w:rPr>
                <w:rFonts w:ascii="Arial Narrow" w:hAnsi="Arial Narrow"/>
                <w:sz w:val="22"/>
                <w:szCs w:val="22"/>
              </w:rPr>
              <w:t xml:space="preserve">   </w:t>
            </w:r>
            <w:r w:rsidR="00AA2391">
              <w:rPr>
                <w:rFonts w:ascii="Arial Narrow" w:hAnsi="Arial Narrow"/>
                <w:sz w:val="22"/>
                <w:szCs w:val="22"/>
              </w:rPr>
              <w:t xml:space="preserve"> </w:t>
            </w:r>
          </w:p>
          <w:p w:rsidR="00AA2391" w:rsidRPr="009860CD" w:rsidRDefault="00AA2391" w:rsidP="00972106">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7C53D1" w:rsidRDefault="00AA2391" w:rsidP="00502227">
            <w:pPr>
              <w:rPr>
                <w:rFonts w:ascii="Arial Narrow" w:hAnsi="Arial Narrow"/>
                <w:sz w:val="22"/>
                <w:szCs w:val="22"/>
              </w:rPr>
            </w:pPr>
            <w:r>
              <w:rPr>
                <w:rFonts w:ascii="Arial Narrow" w:hAnsi="Arial Narrow"/>
                <w:sz w:val="22"/>
                <w:szCs w:val="22"/>
              </w:rPr>
              <w:t>Employee total compensation statements are now available</w:t>
            </w:r>
            <w:r w:rsidR="00502227">
              <w:rPr>
                <w:rFonts w:ascii="Arial Narrow" w:hAnsi="Arial Narrow"/>
                <w:sz w:val="22"/>
                <w:szCs w:val="22"/>
              </w:rPr>
              <w:t xml:space="preserve"> for employee self-service regarding total NMU contributions to salary, taxes, healthcare, and other benefits.  These statements are available through the Employee section of </w:t>
            </w:r>
            <w:proofErr w:type="spellStart"/>
            <w:r w:rsidR="00502227">
              <w:rPr>
                <w:rFonts w:ascii="Arial Narrow" w:hAnsi="Arial Narrow"/>
                <w:sz w:val="22"/>
                <w:szCs w:val="22"/>
              </w:rPr>
              <w:t>MyNMU</w:t>
            </w:r>
            <w:proofErr w:type="spellEnd"/>
            <w:r w:rsidR="006420D2">
              <w:rPr>
                <w:rFonts w:ascii="Arial Narrow" w:hAnsi="Arial Narrow"/>
                <w:sz w:val="22"/>
                <w:szCs w:val="22"/>
              </w:rPr>
              <w:t>, and help achieve the goal of providing expanded employee access to benefits-related information</w:t>
            </w:r>
            <w:r w:rsidR="00502227">
              <w:rPr>
                <w:rFonts w:ascii="Arial Narrow" w:hAnsi="Arial Narrow"/>
                <w:sz w:val="22"/>
                <w:szCs w:val="22"/>
              </w:rPr>
              <w:t>.</w:t>
            </w:r>
            <w:r w:rsidR="006420D2">
              <w:rPr>
                <w:rFonts w:ascii="Arial Narrow" w:hAnsi="Arial Narrow"/>
                <w:sz w:val="22"/>
                <w:szCs w:val="22"/>
              </w:rPr>
              <w:t xml:space="preserve">  Feedback regarding the statements’ look and graphic design was invaluable in </w:t>
            </w:r>
            <w:r w:rsidR="009E6AC3">
              <w:rPr>
                <w:rFonts w:ascii="Arial Narrow" w:hAnsi="Arial Narrow"/>
                <w:sz w:val="22"/>
                <w:szCs w:val="22"/>
              </w:rPr>
              <w:t xml:space="preserve">developing a more intuitive, user-friendly look.  </w:t>
            </w:r>
            <w:r w:rsidR="00502227">
              <w:rPr>
                <w:rFonts w:ascii="Arial Narrow" w:hAnsi="Arial Narrow"/>
                <w:sz w:val="22"/>
                <w:szCs w:val="22"/>
              </w:rPr>
              <w:t xml:space="preserve">    </w:t>
            </w:r>
          </w:p>
          <w:p w:rsidR="00502227" w:rsidRPr="009860CD" w:rsidRDefault="00502227" w:rsidP="00502227">
            <w:pPr>
              <w:rPr>
                <w:rFonts w:ascii="Arial Narrow" w:hAnsi="Arial Narrow"/>
              </w:rPr>
            </w:pPr>
            <w:r>
              <w:rPr>
                <w:rFonts w:ascii="Arial Narrow" w:hAnsi="Arial Narrow"/>
                <w:sz w:val="22"/>
                <w:szCs w:val="22"/>
              </w:rPr>
              <w:t xml:space="preserve">Personnel files are currently available for TOP employees to review from their desk-top, and discussions are in-progress regarding self-service access for other employee groups.  Feedback from those employees who reviewed their files has been very positive.  Before signing in to view one’s file, an employee must attest that they will </w:t>
            </w:r>
            <w:r w:rsidR="006420D2">
              <w:rPr>
                <w:rFonts w:ascii="Arial Narrow" w:hAnsi="Arial Narrow"/>
                <w:sz w:val="22"/>
                <w:szCs w:val="22"/>
              </w:rPr>
              <w:t xml:space="preserve">identify any </w:t>
            </w:r>
            <w:proofErr w:type="spellStart"/>
            <w:r w:rsidR="006420D2">
              <w:rPr>
                <w:rFonts w:ascii="Arial Narrow" w:hAnsi="Arial Narrow"/>
                <w:sz w:val="22"/>
                <w:szCs w:val="22"/>
              </w:rPr>
              <w:t>mis</w:t>
            </w:r>
            <w:proofErr w:type="spellEnd"/>
            <w:r w:rsidR="006420D2">
              <w:rPr>
                <w:rFonts w:ascii="Arial Narrow" w:hAnsi="Arial Narrow"/>
                <w:sz w:val="22"/>
                <w:szCs w:val="22"/>
              </w:rPr>
              <w:t xml:space="preserve">-filed information to Human Resources, and maintain the confidentiality of any </w:t>
            </w:r>
            <w:proofErr w:type="spellStart"/>
            <w:r w:rsidR="006420D2">
              <w:rPr>
                <w:rFonts w:ascii="Arial Narrow" w:hAnsi="Arial Narrow"/>
                <w:sz w:val="22"/>
                <w:szCs w:val="22"/>
              </w:rPr>
              <w:t>mis</w:t>
            </w:r>
            <w:proofErr w:type="spellEnd"/>
            <w:r w:rsidR="006420D2">
              <w:rPr>
                <w:rFonts w:ascii="Arial Narrow" w:hAnsi="Arial Narrow"/>
                <w:sz w:val="22"/>
                <w:szCs w:val="22"/>
              </w:rPr>
              <w:t>-filed information.  In this way, any filing errors can be eliminated through correction, while maintaining immediate service to employees regarding their own information.</w:t>
            </w:r>
            <w:r>
              <w:rPr>
                <w:rFonts w:ascii="Arial Narrow" w:hAnsi="Arial Narrow"/>
                <w:sz w:val="22"/>
                <w:szCs w:val="22"/>
              </w:rPr>
              <w:t xml:space="preserve">    </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0"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lastRenderedPageBreak/>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B7766A">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B7766A">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B7766A">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B7766A">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B7766A">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B7766A">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4C" w:rsidRDefault="00B84B4C" w:rsidP="00CC0C16">
      <w:r>
        <w:separator/>
      </w:r>
    </w:p>
  </w:endnote>
  <w:endnote w:type="continuationSeparator" w:id="0">
    <w:p w:rsidR="00B84B4C" w:rsidRDefault="00B84B4C" w:rsidP="00CC0C16">
      <w:r>
        <w:continuationSeparator/>
      </w:r>
    </w:p>
  </w:endnote>
  <w:endnote w:id="1">
    <w:p w:rsidR="00AD3C5D" w:rsidRDefault="00AD3C5D">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5D" w:rsidRPr="00216099" w:rsidRDefault="00AD3C5D"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A56487">
          <w:rPr>
            <w:rFonts w:asciiTheme="minorHAnsi" w:hAnsiTheme="minorHAnsi" w:cstheme="minorHAnsi"/>
            <w:noProof/>
            <w:sz w:val="18"/>
          </w:rPr>
          <w:t>4</w:t>
        </w:r>
        <w:r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4C" w:rsidRDefault="00B84B4C" w:rsidP="00CC0C16">
      <w:r>
        <w:separator/>
      </w:r>
    </w:p>
  </w:footnote>
  <w:footnote w:type="continuationSeparator" w:id="0">
    <w:p w:rsidR="00B84B4C" w:rsidRDefault="00B84B4C"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55E8"/>
    <w:multiLevelType w:val="hybridMultilevel"/>
    <w:tmpl w:val="E75E8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183198"/>
    <w:multiLevelType w:val="hybridMultilevel"/>
    <w:tmpl w:val="F15C10D8"/>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3B5E"/>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2227"/>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18E3"/>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1597"/>
    <w:rsid w:val="005F2765"/>
    <w:rsid w:val="005F4912"/>
    <w:rsid w:val="00601891"/>
    <w:rsid w:val="006019B0"/>
    <w:rsid w:val="00603497"/>
    <w:rsid w:val="00603FB2"/>
    <w:rsid w:val="0060443D"/>
    <w:rsid w:val="00605FDA"/>
    <w:rsid w:val="00606A12"/>
    <w:rsid w:val="00606C8E"/>
    <w:rsid w:val="00612999"/>
    <w:rsid w:val="00613A44"/>
    <w:rsid w:val="00613EBA"/>
    <w:rsid w:val="006233F9"/>
    <w:rsid w:val="00624D61"/>
    <w:rsid w:val="00624E76"/>
    <w:rsid w:val="0062600E"/>
    <w:rsid w:val="00630B64"/>
    <w:rsid w:val="00631A61"/>
    <w:rsid w:val="006355CF"/>
    <w:rsid w:val="00635759"/>
    <w:rsid w:val="00635D5D"/>
    <w:rsid w:val="00636C61"/>
    <w:rsid w:val="00636CD6"/>
    <w:rsid w:val="0063731B"/>
    <w:rsid w:val="00637F9C"/>
    <w:rsid w:val="00640CB7"/>
    <w:rsid w:val="006420D2"/>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526A"/>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E6AC3"/>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6487"/>
    <w:rsid w:val="00A57A00"/>
    <w:rsid w:val="00A601C7"/>
    <w:rsid w:val="00A6044F"/>
    <w:rsid w:val="00A6073D"/>
    <w:rsid w:val="00A61946"/>
    <w:rsid w:val="00A61DEA"/>
    <w:rsid w:val="00A6226A"/>
    <w:rsid w:val="00A626CB"/>
    <w:rsid w:val="00A65C10"/>
    <w:rsid w:val="00A65C34"/>
    <w:rsid w:val="00A65E51"/>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2391"/>
    <w:rsid w:val="00AA3E90"/>
    <w:rsid w:val="00AA459E"/>
    <w:rsid w:val="00AB18C9"/>
    <w:rsid w:val="00AB4502"/>
    <w:rsid w:val="00AB6E90"/>
    <w:rsid w:val="00AB7747"/>
    <w:rsid w:val="00AC13E6"/>
    <w:rsid w:val="00AC4985"/>
    <w:rsid w:val="00AC4ED5"/>
    <w:rsid w:val="00AD0E1C"/>
    <w:rsid w:val="00AD3C5D"/>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7766A"/>
    <w:rsid w:val="00B80425"/>
    <w:rsid w:val="00B84B4C"/>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4FED"/>
    <w:rsid w:val="00CD678C"/>
    <w:rsid w:val="00CE01D3"/>
    <w:rsid w:val="00CE049E"/>
    <w:rsid w:val="00CE0A36"/>
    <w:rsid w:val="00CE0F17"/>
    <w:rsid w:val="00CE1FF6"/>
    <w:rsid w:val="00CE2126"/>
    <w:rsid w:val="00CE272D"/>
    <w:rsid w:val="00CE355E"/>
    <w:rsid w:val="00CE6D49"/>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55A63"/>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0F4F"/>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65DBD"/>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AA2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AB17-3FDD-4009-908C-14E36D62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asherman</cp:lastModifiedBy>
  <cp:revision>2</cp:revision>
  <dcterms:created xsi:type="dcterms:W3CDTF">2012-07-02T15:57:00Z</dcterms:created>
  <dcterms:modified xsi:type="dcterms:W3CDTF">2012-07-02T15:57:00Z</dcterms:modified>
</cp:coreProperties>
</file>