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40"/>
        <w:gridCol w:w="720"/>
        <w:gridCol w:w="4230"/>
        <w:gridCol w:w="1620"/>
        <w:gridCol w:w="1818"/>
      </w:tblGrid>
      <w:tr w:rsidR="00B60EE2" w:rsidRPr="00C63E27" w:rsidTr="00A51F47">
        <w:tc>
          <w:tcPr>
            <w:tcW w:w="2628" w:type="dxa"/>
            <w:gridSpan w:val="2"/>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3A072F" w:rsidP="00254735">
            <w:pPr>
              <w:rPr>
                <w:rFonts w:ascii="Arial Narrow" w:hAnsi="Arial Narrow"/>
              </w:rPr>
            </w:pPr>
            <w:r>
              <w:rPr>
                <w:rFonts w:ascii="TT2A1t00" w:eastAsiaTheme="minorHAnsi" w:hAnsi="TT2A1t00" w:cs="TT2A1t00"/>
              </w:rPr>
              <w:t>Continuing Education and Workforce Development</w:t>
            </w:r>
          </w:p>
        </w:tc>
      </w:tr>
      <w:tr w:rsidR="00B60EE2" w:rsidRPr="00C63E27" w:rsidTr="00A24592">
        <w:tc>
          <w:tcPr>
            <w:tcW w:w="2088" w:type="dxa"/>
            <w:tcBorders>
              <w:top w:val="nil"/>
              <w:left w:val="nil"/>
              <w:bottom w:val="nil"/>
              <w:right w:val="single" w:sz="4" w:space="0" w:color="auto"/>
            </w:tcBorders>
            <w:shd w:val="clear" w:color="auto" w:fill="FFFFFF"/>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FD03FE" w:rsidP="003A072F">
            <w:pPr>
              <w:rPr>
                <w:rFonts w:ascii="Arial Narrow" w:hAnsi="Arial Narrow" w:cs="Arial"/>
              </w:rPr>
            </w:pPr>
            <w:r w:rsidRPr="00C63E27">
              <w:rPr>
                <w:rFonts w:ascii="Arial Narrow" w:hAnsi="Arial Narrow" w:cs="Arial"/>
                <w:sz w:val="22"/>
                <w:szCs w:val="22"/>
              </w:rPr>
              <w:t xml:space="preserve"> </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PLAN or </w:t>
            </w:r>
            <w:r w:rsidR="003A072F">
              <w:rPr>
                <w:rFonts w:ascii="Arial Narrow" w:hAnsi="Arial Narrow" w:cs="Arial"/>
                <w:sz w:val="22"/>
                <w:szCs w:val="22"/>
                <w:u w:val="single"/>
              </w:rPr>
              <w:t>x</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REPORT f</w:t>
            </w:r>
            <w:bookmarkStart w:id="0" w:name="_GoBack"/>
            <w:bookmarkEnd w:id="0"/>
            <w:r w:rsidR="00B60EE2" w:rsidRPr="00C63E27">
              <w:rPr>
                <w:rFonts w:ascii="Arial Narrow" w:hAnsi="Arial Narrow" w:cs="Arial"/>
                <w:sz w:val="22"/>
                <w:szCs w:val="22"/>
              </w:rPr>
              <w:t>or July 1, 20</w:t>
            </w:r>
            <w:r w:rsidR="00FE3472" w:rsidRPr="00C63E27">
              <w:rPr>
                <w:rFonts w:ascii="Arial Narrow" w:hAnsi="Arial Narrow" w:cs="Arial"/>
                <w:sz w:val="22"/>
                <w:szCs w:val="22"/>
              </w:rPr>
              <w:t>1_</w:t>
            </w:r>
            <w:r w:rsidR="00B60EE2" w:rsidRPr="00C63E27">
              <w:rPr>
                <w:rFonts w:ascii="Arial Narrow" w:hAnsi="Arial Narrow" w:cs="Arial"/>
                <w:sz w:val="22"/>
                <w:szCs w:val="22"/>
              </w:rPr>
              <w:t xml:space="preserve"> to June 30, 20</w:t>
            </w:r>
            <w:r w:rsidR="00FE3472" w:rsidRPr="00C63E27">
              <w:rPr>
                <w:rFonts w:ascii="Arial Narrow" w:hAnsi="Arial Narrow" w:cs="Arial"/>
                <w:sz w:val="22"/>
                <w:szCs w:val="22"/>
              </w:rPr>
              <w:t>1_</w:t>
            </w:r>
          </w:p>
        </w:tc>
        <w:tc>
          <w:tcPr>
            <w:tcW w:w="1620" w:type="dxa"/>
            <w:tcBorders>
              <w:top w:val="nil"/>
              <w:left w:val="single" w:sz="4" w:space="0" w:color="auto"/>
              <w:bottom w:val="nil"/>
              <w:right w:val="single" w:sz="4" w:space="0" w:color="auto"/>
            </w:tcBorders>
            <w:shd w:val="clear" w:color="auto" w:fill="FFFFFF"/>
            <w:vAlign w:val="center"/>
          </w:tcPr>
          <w:p w:rsidR="00B60EE2" w:rsidRPr="00C63E27" w:rsidRDefault="00B60EE2" w:rsidP="00A51F47">
            <w:pPr>
              <w:rPr>
                <w:rFonts w:ascii="Arial Narrow" w:hAnsi="Arial Narrow" w:cs="Arial"/>
              </w:rPr>
            </w:pPr>
            <w:r w:rsidRPr="00C63E27">
              <w:rPr>
                <w:rFonts w:ascii="Arial Narrow" w:hAnsi="Arial Narrow" w:cs="Arial"/>
                <w:sz w:val="22"/>
                <w:szCs w:val="22"/>
                <w:shd w:val="clear" w:color="auto" w:fill="FFFFFF" w:themeFill="background1"/>
              </w:rPr>
              <w:t>Date Submitted</w:t>
            </w:r>
            <w:r w:rsidR="00A51F47" w:rsidRPr="00C63E27">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C63E27" w:rsidRDefault="003A072F" w:rsidP="00254735">
            <w:pPr>
              <w:rPr>
                <w:rFonts w:ascii="Arial Narrow" w:hAnsi="Arial Narrow" w:cs="Arial"/>
              </w:rPr>
            </w:pPr>
            <w:r>
              <w:rPr>
                <w:rFonts w:ascii="Arial Narrow" w:hAnsi="Arial Narrow" w:cs="Arial"/>
              </w:rPr>
              <w:t>Sept 20, 2012</w:t>
            </w:r>
          </w:p>
        </w:tc>
      </w:tr>
      <w:tr w:rsidR="00B60EE2" w:rsidRPr="00C63E27" w:rsidTr="00A51F47">
        <w:tc>
          <w:tcPr>
            <w:tcW w:w="3348" w:type="dxa"/>
            <w:gridSpan w:val="3"/>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7F6E35" w:rsidRDefault="003A072F" w:rsidP="00254735">
            <w:pPr>
              <w:rPr>
                <w:rFonts w:ascii="Arial Narrow" w:hAnsi="Arial Narrow"/>
                <w:sz w:val="22"/>
                <w:szCs w:val="22"/>
              </w:rPr>
            </w:pPr>
            <w:r w:rsidRPr="007F6E35">
              <w:rPr>
                <w:rFonts w:ascii="TT2A1t00" w:eastAsiaTheme="minorHAnsi" w:hAnsi="TT2A1t00" w:cs="TT2A1t00"/>
                <w:sz w:val="22"/>
                <w:szCs w:val="22"/>
              </w:rPr>
              <w:t>Robert Eslinger, Director Continuing Education and Workforce Development</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3A072F">
              <w:rPr>
                <w:rFonts w:ascii="Arial Narrow" w:hAnsi="Arial Narrow" w:cs="Arial"/>
                <w:b/>
                <w:sz w:val="22"/>
                <w:szCs w:val="22"/>
              </w:rPr>
              <w:t>X</w:t>
            </w:r>
            <w:r w:rsidR="007D2C63">
              <w:rPr>
                <w:rFonts w:ascii="Arial Narrow" w:hAnsi="Arial Narrow" w:cs="Arial"/>
                <w:b/>
                <w:sz w:val="22"/>
                <w:szCs w:val="22"/>
              </w:rPr>
              <w:t>_ No</w:t>
            </w:r>
          </w:p>
        </w:tc>
      </w:tr>
      <w:tr w:rsidR="00A51F47" w:rsidRPr="00C63E27"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7F6E35" w:rsidRDefault="003A072F" w:rsidP="003A072F">
            <w:pPr>
              <w:autoSpaceDE w:val="0"/>
              <w:autoSpaceDN w:val="0"/>
              <w:adjustRightInd w:val="0"/>
              <w:rPr>
                <w:rFonts w:ascii="TT2A1t00" w:eastAsiaTheme="minorHAnsi" w:hAnsi="TT2A1t00" w:cs="TT2A1t00"/>
                <w:sz w:val="22"/>
                <w:szCs w:val="22"/>
              </w:rPr>
            </w:pPr>
            <w:r w:rsidRPr="007F6E35">
              <w:rPr>
                <w:rFonts w:ascii="TT2A1t00" w:eastAsiaTheme="minorHAnsi" w:hAnsi="TT2A1t00" w:cs="TT2A1t00"/>
                <w:sz w:val="22"/>
                <w:szCs w:val="22"/>
              </w:rPr>
              <w:t>Continuing Education Mission Statement: Adult Students require programs that deliver results specific to their professional needs with course schedules and delivery methods that allow participation outside the traditional semester format. Continuing Education’s goal is to provide these vitally important lifelong learning opportunities to individuals and groups in the Upper Peninsula and beyond.</w:t>
            </w:r>
          </w:p>
        </w:tc>
      </w:tr>
    </w:tbl>
    <w:p w:rsidR="00A51F47" w:rsidRPr="009860CD" w:rsidRDefault="00A51F47">
      <w:pPr>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5315"/>
        <w:gridCol w:w="283"/>
        <w:gridCol w:w="5322"/>
        <w:gridCol w:w="44"/>
      </w:tblGrid>
      <w:tr w:rsidR="002C4E27" w:rsidRPr="009860CD" w:rsidTr="002C4E27">
        <w:tc>
          <w:tcPr>
            <w:tcW w:w="2424" w:type="pct"/>
            <w:tcBorders>
              <w:top w:val="nil"/>
              <w:left w:val="nil"/>
              <w:bottom w:val="single" w:sz="4" w:space="0" w:color="auto"/>
              <w:right w:val="nil"/>
            </w:tcBorders>
          </w:tcPr>
          <w:p w:rsidR="00A07684" w:rsidRPr="009860CD" w:rsidRDefault="00A07684" w:rsidP="003A072F">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3A072F">
            <w:pPr>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3A072F">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9860CD" w:rsidRDefault="00A07684" w:rsidP="003A072F">
            <w:pPr>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w:t>
            </w:r>
            <w:r w:rsidRPr="00431236">
              <w:rPr>
                <w:rFonts w:ascii="Arial Narrow" w:hAnsi="Arial Narrow" w:cs="Arial"/>
                <w:i/>
                <w:sz w:val="20"/>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9860CD" w:rsidRDefault="00A07684" w:rsidP="003A072F">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3A072F">
            <w:pPr>
              <w:rPr>
                <w:rFonts w:ascii="Arial Narrow" w:hAnsi="Arial Narrow"/>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r w:rsidRPr="00431236">
              <w:rPr>
                <w:rFonts w:ascii="Arial Narrow" w:hAnsi="Arial Narrow" w:cs="Arial"/>
                <w:i/>
                <w:sz w:val="20"/>
                <w:szCs w:val="22"/>
              </w:rPr>
              <w:t>Describe the statistic or criteria that measures success in achieving this goal.  What is the desired and/or minimum target you expect</w:t>
            </w:r>
            <w:r w:rsidRPr="00431236">
              <w:rPr>
                <w:rFonts w:ascii="Arial Narrow" w:hAnsi="Arial Narrow" w:cs="Arial"/>
                <w:sz w:val="20"/>
                <w:szCs w:val="22"/>
              </w:rPr>
              <w:t xml:space="preserve">? </w:t>
            </w:r>
            <w:r w:rsidRPr="00431236">
              <w:rPr>
                <w:rFonts w:ascii="Arial Narrow" w:hAnsi="Arial Narrow" w:cs="Arial"/>
                <w:i/>
                <w:sz w:val="20"/>
                <w:szCs w:val="22"/>
              </w:rPr>
              <w:t>What method is used to collect the data for the statistic</w:t>
            </w:r>
            <w:r w:rsidRPr="00431236">
              <w:rPr>
                <w:rFonts w:ascii="Arial Narrow" w:hAnsi="Arial Narrow" w:cs="Arial"/>
                <w:sz w:val="20"/>
                <w:szCs w:val="22"/>
              </w:rPr>
              <w:t>?)</w:t>
            </w:r>
          </w:p>
        </w:tc>
      </w:tr>
      <w:tr w:rsidR="002C4E27" w:rsidRPr="00431236" w:rsidTr="002C4E27">
        <w:tc>
          <w:tcPr>
            <w:tcW w:w="2424" w:type="pct"/>
            <w:tcBorders>
              <w:top w:val="nil"/>
              <w:left w:val="single" w:sz="4" w:space="0" w:color="auto"/>
              <w:bottom w:val="single" w:sz="4" w:space="0" w:color="auto"/>
              <w:right w:val="nil"/>
            </w:tcBorders>
            <w:shd w:val="clear" w:color="auto" w:fill="F2F2F2" w:themeFill="background1" w:themeFillShade="F2"/>
          </w:tcPr>
          <w:p w:rsidR="003A072F" w:rsidRDefault="00FE3472" w:rsidP="003A072F">
            <w:pPr>
              <w:autoSpaceDE w:val="0"/>
              <w:autoSpaceDN w:val="0"/>
              <w:adjustRightInd w:val="0"/>
              <w:rPr>
                <w:rFonts w:ascii="Arial Narrow" w:hAnsi="Arial Narrow" w:cs="Arial"/>
                <w:sz w:val="22"/>
                <w:szCs w:val="22"/>
              </w:rPr>
            </w:pPr>
            <w:r w:rsidRPr="00431236">
              <w:rPr>
                <w:rFonts w:ascii="Arial Narrow" w:hAnsi="Arial Narrow" w:cs="Arial"/>
                <w:i/>
                <w:sz w:val="20"/>
                <w:szCs w:val="22"/>
              </w:rPr>
              <w:t>Objective</w:t>
            </w:r>
            <w:r w:rsidRPr="00431236">
              <w:rPr>
                <w:rFonts w:ascii="Arial Narrow" w:hAnsi="Arial Narrow" w:cs="Arial"/>
                <w:sz w:val="22"/>
                <w:szCs w:val="22"/>
              </w:rPr>
              <w:t>:</w:t>
            </w:r>
            <w:r w:rsidR="003A072F">
              <w:rPr>
                <w:rFonts w:ascii="Arial Narrow" w:hAnsi="Arial Narrow" w:cs="Arial"/>
                <w:sz w:val="22"/>
                <w:szCs w:val="22"/>
              </w:rPr>
              <w:t xml:space="preserve"> </w:t>
            </w:r>
          </w:p>
          <w:p w:rsidR="003A072F" w:rsidRDefault="003A072F" w:rsidP="003A072F">
            <w:pPr>
              <w:autoSpaceDE w:val="0"/>
              <w:autoSpaceDN w:val="0"/>
              <w:adjustRightInd w:val="0"/>
              <w:rPr>
                <w:rFonts w:ascii="Arial Narrow" w:hAnsi="Arial Narrow" w:cs="Arial"/>
                <w:sz w:val="22"/>
                <w:szCs w:val="22"/>
              </w:rPr>
            </w:pPr>
          </w:p>
          <w:p w:rsidR="00254735" w:rsidRPr="007F6E35" w:rsidRDefault="003A072F" w:rsidP="003A072F">
            <w:pPr>
              <w:autoSpaceDE w:val="0"/>
              <w:autoSpaceDN w:val="0"/>
              <w:adjustRightInd w:val="0"/>
              <w:rPr>
                <w:rFonts w:ascii="TT2A1t00" w:eastAsiaTheme="minorHAnsi" w:hAnsi="TT2A1t00" w:cs="TT2A1t00"/>
                <w:sz w:val="22"/>
                <w:szCs w:val="22"/>
              </w:rPr>
            </w:pPr>
            <w:r w:rsidRPr="007F6E35">
              <w:rPr>
                <w:rFonts w:ascii="TT2A1t00" w:eastAsiaTheme="minorHAnsi" w:hAnsi="TT2A1t00" w:cs="TT2A1t00"/>
                <w:sz w:val="22"/>
                <w:szCs w:val="22"/>
              </w:rPr>
              <w:t>Increase revenue from an increase in the number of trainees and participating companies.</w:t>
            </w:r>
          </w:p>
          <w:p w:rsidR="003A072F" w:rsidRDefault="003A072F" w:rsidP="00C63E27">
            <w:pPr>
              <w:rPr>
                <w:rFonts w:ascii="Arial Narrow" w:hAnsi="Arial Narrow"/>
                <w:i/>
                <w:sz w:val="20"/>
                <w:szCs w:val="22"/>
              </w:rPr>
            </w:pPr>
          </w:p>
          <w:p w:rsidR="00C63E27" w:rsidRPr="00C63E27" w:rsidRDefault="00C63E27" w:rsidP="003A072F">
            <w:pPr>
              <w:pStyle w:val="ListParagraph"/>
              <w:ind w:left="360"/>
              <w:rPr>
                <w:rFonts w:ascii="Arial Narrow" w:hAnsi="Arial Narrow"/>
                <w:i/>
                <w:sz w:val="20"/>
                <w:szCs w:val="20"/>
              </w:rPr>
            </w:pPr>
            <w:r w:rsidRPr="00C63E27">
              <w:rPr>
                <w:rFonts w:ascii="Arial Narrow" w:hAnsi="Arial Narrow"/>
                <w:sz w:val="22"/>
                <w:szCs w:val="22"/>
              </w:rPr>
              <w:t xml:space="preserve"> </w:t>
            </w:r>
          </w:p>
        </w:tc>
        <w:tc>
          <w:tcPr>
            <w:tcW w:w="129" w:type="pct"/>
            <w:tcBorders>
              <w:top w:val="nil"/>
              <w:left w:val="nil"/>
              <w:bottom w:val="single" w:sz="4" w:space="0" w:color="auto"/>
              <w:right w:val="nil"/>
            </w:tcBorders>
          </w:tcPr>
          <w:p w:rsidR="00254735" w:rsidRPr="00431236" w:rsidRDefault="00254735" w:rsidP="000A1CA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CE01D3" w:rsidRPr="00431236" w:rsidRDefault="00D87221" w:rsidP="000A1CAE">
            <w:pPr>
              <w:rPr>
                <w:rFonts w:ascii="Arial Narrow" w:hAnsi="Arial Narrow" w:cs="Arial"/>
              </w:rPr>
            </w:pPr>
            <w:r>
              <w:rPr>
                <w:rFonts w:ascii="Arial Narrow" w:hAnsi="Arial Narrow" w:cs="Arial"/>
                <w:i/>
                <w:sz w:val="20"/>
                <w:szCs w:val="22"/>
              </w:rPr>
              <w:t>Measures</w:t>
            </w:r>
            <w:r w:rsidR="00FE3472" w:rsidRPr="00431236">
              <w:rPr>
                <w:rFonts w:ascii="Arial Narrow" w:hAnsi="Arial Narrow" w:cs="Arial"/>
                <w:sz w:val="22"/>
                <w:szCs w:val="22"/>
              </w:rPr>
              <w:t>:</w:t>
            </w:r>
          </w:p>
          <w:p w:rsidR="003A072F" w:rsidRDefault="003A072F" w:rsidP="003A072F">
            <w:pPr>
              <w:autoSpaceDE w:val="0"/>
              <w:autoSpaceDN w:val="0"/>
              <w:adjustRightInd w:val="0"/>
              <w:rPr>
                <w:rFonts w:ascii="TT2A1t00" w:eastAsiaTheme="minorHAnsi" w:hAnsi="TT2A1t00" w:cs="TT2A1t00"/>
                <w:color w:val="000000"/>
                <w:sz w:val="22"/>
                <w:szCs w:val="22"/>
              </w:rPr>
            </w:pPr>
            <w:r w:rsidRPr="003A072F">
              <w:rPr>
                <w:rFonts w:ascii="TT2A1t00" w:eastAsiaTheme="minorHAnsi" w:hAnsi="TT2A1t00" w:cs="TT2A1t00"/>
                <w:color w:val="000000"/>
                <w:sz w:val="22"/>
                <w:szCs w:val="22"/>
              </w:rPr>
              <w:t xml:space="preserve">The number of individuals and employers who are served are counted and can be tallied in a variety of ways: individual participation, company participation, course offerings by subject, and testing. Satisfaction surveys are collected for every training event and will be used to evaluate course offerings and content. </w:t>
            </w:r>
          </w:p>
          <w:p w:rsidR="003A072F" w:rsidRDefault="003A072F" w:rsidP="003A072F">
            <w:pPr>
              <w:autoSpaceDE w:val="0"/>
              <w:autoSpaceDN w:val="0"/>
              <w:adjustRightInd w:val="0"/>
              <w:rPr>
                <w:rFonts w:ascii="TT2A1t00" w:eastAsiaTheme="minorHAnsi" w:hAnsi="TT2A1t00" w:cs="TT2A1t00"/>
                <w:color w:val="000000"/>
                <w:sz w:val="22"/>
                <w:szCs w:val="22"/>
              </w:rPr>
            </w:pPr>
          </w:p>
          <w:p w:rsidR="00254735" w:rsidRPr="003A072F" w:rsidRDefault="003A072F" w:rsidP="003A072F">
            <w:pPr>
              <w:autoSpaceDE w:val="0"/>
              <w:autoSpaceDN w:val="0"/>
              <w:adjustRightInd w:val="0"/>
              <w:rPr>
                <w:rFonts w:ascii="TT2A1t00" w:eastAsiaTheme="minorHAnsi" w:hAnsi="TT2A1t00" w:cs="TT2A1t00"/>
                <w:color w:val="000000"/>
                <w:sz w:val="22"/>
                <w:szCs w:val="22"/>
              </w:rPr>
            </w:pPr>
            <w:r w:rsidRPr="003A072F">
              <w:rPr>
                <w:rFonts w:ascii="TT2A1t00" w:eastAsiaTheme="minorHAnsi" w:hAnsi="TT2A1t00" w:cs="TT2A1t00"/>
                <w:color w:val="000000"/>
                <w:sz w:val="22"/>
                <w:szCs w:val="22"/>
              </w:rPr>
              <w:t>Using computerized tracking mechanisms we will conduct an annual review of collected data as well as the satisfaction levels. We will also review their opinions of the course subject and content annually and make improvements where appropriate. A 10-20% increase in training offerings for companies is expected in contracted training. Satisfaction surveys will be examined after each</w:t>
            </w:r>
            <w:r>
              <w:rPr>
                <w:rFonts w:ascii="TT2A1t00" w:eastAsiaTheme="minorHAnsi" w:hAnsi="TT2A1t00" w:cs="TT2A1t00"/>
                <w:color w:val="000000"/>
                <w:sz w:val="22"/>
                <w:szCs w:val="22"/>
              </w:rPr>
              <w:t xml:space="preserve"> </w:t>
            </w:r>
            <w:r w:rsidRPr="003A072F">
              <w:rPr>
                <w:rFonts w:ascii="TT2A1t00" w:eastAsiaTheme="minorHAnsi" w:hAnsi="TT2A1t00" w:cs="TT2A1t00"/>
                <w:color w:val="000000"/>
                <w:sz w:val="22"/>
                <w:szCs w:val="22"/>
              </w:rPr>
              <w:t>training session and at the end of the year for each training topic. Revenue review will be conducted on a quarterly basis.</w:t>
            </w:r>
          </w:p>
        </w:tc>
      </w:tr>
      <w:tr w:rsidR="002C4E27" w:rsidRPr="009860CD" w:rsidTr="002C4E27">
        <w:tc>
          <w:tcPr>
            <w:tcW w:w="2424" w:type="pct"/>
            <w:tcBorders>
              <w:top w:val="single" w:sz="4" w:space="0" w:color="auto"/>
              <w:left w:val="nil"/>
              <w:bottom w:val="single" w:sz="4" w:space="0" w:color="auto"/>
              <w:right w:val="nil"/>
            </w:tcBorders>
          </w:tcPr>
          <w:p w:rsidR="00A07684" w:rsidRPr="009860CD" w:rsidRDefault="00A07684" w:rsidP="003A072F">
            <w:pPr>
              <w:spacing w:before="240"/>
              <w:rPr>
                <w:rFonts w:ascii="Arial Narrow" w:hAnsi="Arial Narrow" w:cs="Arial"/>
                <w:b/>
              </w:rPr>
            </w:pPr>
            <w:r>
              <w:rPr>
                <w:rFonts w:ascii="Arial Narrow" w:hAnsi="Arial Narrow" w:cs="Arial"/>
                <w:b/>
                <w:sz w:val="22"/>
                <w:szCs w:val="22"/>
              </w:rPr>
              <w:t>Assessment Report</w:t>
            </w:r>
          </w:p>
        </w:tc>
        <w:tc>
          <w:tcPr>
            <w:tcW w:w="129" w:type="pct"/>
            <w:tcBorders>
              <w:top w:val="single" w:sz="4" w:space="0" w:color="auto"/>
              <w:left w:val="nil"/>
              <w:bottom w:val="single" w:sz="4" w:space="0" w:color="auto"/>
              <w:right w:val="nil"/>
            </w:tcBorders>
          </w:tcPr>
          <w:p w:rsidR="00A07684" w:rsidRPr="009860CD" w:rsidRDefault="00A07684" w:rsidP="003A072F">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Default="00A07684" w:rsidP="003A072F">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Default="00A07684" w:rsidP="003A072F">
            <w:pPr>
              <w:spacing w:after="120"/>
              <w:ind w:right="-162"/>
              <w:rPr>
                <w:rFonts w:ascii="Arial Narrow" w:hAnsi="Arial Narrow" w:cs="Arial"/>
                <w:i/>
                <w:sz w:val="22"/>
                <w:szCs w:val="22"/>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p w:rsidR="003A072F" w:rsidRDefault="003A072F" w:rsidP="003A072F">
            <w:r>
              <w:t xml:space="preserve">In FY2010-11, 19 companies participated in 21 classes offered (either customized or general industry training), with 277 employees attending.  An EDJT Grant from the State of Michigan assisted another 7 companies obtain training for another 250 employees.  While EDJT Grant funding ended and was not available in FY2011-12, 20 companies participated in 48 classes (either customized or general industry training) with 350 employees attending training.  The number of companies who paid for training increased in 2012 by 5% and the number of attendees increased by 21%, while the number of classes held more than doubled (from 21 to 48). Additionally, while the cost </w:t>
            </w:r>
            <w:r>
              <w:lastRenderedPageBreak/>
              <w:t xml:space="preserve">of labor increased due to an increase of faculty taught courses and change in staffing, we were able to improve our overall net profit by 9.2% by better managing other costs and improved accounting procedures.  </w:t>
            </w:r>
          </w:p>
          <w:p w:rsidR="003A072F" w:rsidRPr="003A072F" w:rsidRDefault="003A072F" w:rsidP="003A072F">
            <w:r>
              <w:t xml:space="preserve">Revenue, minus the amount that was previously available from the EDJT Grant, was on track to equal or surpass the previous year during the first three quarters but ended lower than expected (down almost 15% on the year) due to a layoff and subsequent stoppage of training and testing by our largest client.  </w:t>
            </w:r>
          </w:p>
        </w:tc>
        <w:tc>
          <w:tcPr>
            <w:tcW w:w="129" w:type="pct"/>
            <w:tcBorders>
              <w:top w:val="single" w:sz="4" w:space="0" w:color="auto"/>
              <w:left w:val="nil"/>
              <w:bottom w:val="nil"/>
              <w:right w:val="nil"/>
            </w:tcBorders>
          </w:tcPr>
          <w:p w:rsidR="00A07684" w:rsidRPr="009860CD" w:rsidRDefault="00A07684" w:rsidP="003A072F">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Default="00A07684" w:rsidP="003A072F">
            <w:pPr>
              <w:spacing w:after="120"/>
              <w:rPr>
                <w:rFonts w:ascii="Arial Narrow" w:hAnsi="Arial Narrow" w:cs="Arial"/>
                <w:i/>
                <w:sz w:val="20"/>
                <w:szCs w:val="22"/>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(Offers conclusions or interpretation and explains how data was used to make changes for improvement as related to the objective)</w:t>
            </w:r>
          </w:p>
          <w:p w:rsidR="003A072F" w:rsidRDefault="003A072F" w:rsidP="003A072F">
            <w:r>
              <w:t xml:space="preserve">The increase in course offerings was a direct result of both listening to the needs of our customers and an increased marketing effort when classes were offered.  Course evaluations were reviewed following every class and companies were consulted on the results.  We started a baseline for evaluations for three courses this year which will give us a measure for customer satisfaction when we compare next year’s results against them.  Additionally, we sat down with our largest client and laid out a quarterly training plan based on their knowledge of their training </w:t>
            </w:r>
            <w:proofErr w:type="gramStart"/>
            <w:r>
              <w:t>gaps,</w:t>
            </w:r>
            <w:proofErr w:type="gramEnd"/>
            <w:r>
              <w:t xml:space="preserve"> our </w:t>
            </w:r>
            <w:r>
              <w:lastRenderedPageBreak/>
              <w:t xml:space="preserve">information from skill testing as well as a review of the last year’s training topics and added courses and topics as necessary.  We saw a general increase in soft skills training requests and we were able to accommodate those requests also adding to the course offerings. </w:t>
            </w:r>
          </w:p>
          <w:p w:rsidR="003A072F" w:rsidRPr="009860CD" w:rsidRDefault="003A072F" w:rsidP="003A072F">
            <w:pPr>
              <w:spacing w:after="120"/>
              <w:rPr>
                <w:rFonts w:ascii="Arial Narrow" w:hAnsi="Arial Narrow" w:cs="Arial"/>
                <w:b/>
              </w:rPr>
            </w:pPr>
          </w:p>
        </w:tc>
      </w:tr>
      <w:tr w:rsidR="007C53D1"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431236">
            <w:pPr>
              <w:rPr>
                <w:rFonts w:ascii="Arial Narrow" w:hAnsi="Arial Narrow"/>
              </w:rPr>
            </w:pPr>
            <w:r w:rsidRPr="009860CD">
              <w:rPr>
                <w:rFonts w:ascii="Arial Narrow" w:hAnsi="Arial Narrow"/>
                <w:sz w:val="22"/>
                <w:szCs w:val="22"/>
              </w:rPr>
              <w:lastRenderedPageBreak/>
              <w:t>(Fill</w:t>
            </w:r>
            <w:r w:rsidR="00431236">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431236" w:rsidP="00431236">
            <w:pPr>
              <w:rPr>
                <w:rFonts w:ascii="Arial Narrow" w:hAnsi="Arial Narrow"/>
              </w:rPr>
            </w:pPr>
            <w:r>
              <w:rPr>
                <w:rFonts w:ascii="Arial Narrow" w:hAnsi="Arial Narrow"/>
                <w:sz w:val="22"/>
                <w:szCs w:val="22"/>
              </w:rPr>
              <w:t>(Fill this cell</w:t>
            </w:r>
            <w:r w:rsidR="007C53D1" w:rsidRPr="009860CD">
              <w:rPr>
                <w:rFonts w:ascii="Arial Narrow" w:hAnsi="Arial Narrow"/>
                <w:sz w:val="22"/>
                <w:szCs w:val="22"/>
              </w:rPr>
              <w:t xml:space="preserve"> only for the REPORT at the end of the year.)</w:t>
            </w:r>
          </w:p>
        </w:tc>
      </w:tr>
      <w:tr w:rsidR="00A07684" w:rsidRPr="009860CD" w:rsidTr="002C4E27">
        <w:tc>
          <w:tcPr>
            <w:tcW w:w="2424" w:type="pct"/>
            <w:tcBorders>
              <w:top w:val="nil"/>
              <w:left w:val="nil"/>
              <w:bottom w:val="single" w:sz="4" w:space="0" w:color="auto"/>
              <w:right w:val="nil"/>
            </w:tcBorders>
          </w:tcPr>
          <w:p w:rsidR="00A07684" w:rsidRPr="009860CD" w:rsidRDefault="00A07684" w:rsidP="003A072F">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3A072F">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3A072F">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A07684" w:rsidP="003A072F">
            <w:pPr>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w:t>
            </w:r>
            <w:r w:rsidRPr="00431236">
              <w:rPr>
                <w:rFonts w:ascii="Arial Narrow" w:hAnsi="Arial Narrow" w:cs="Arial"/>
                <w:i/>
                <w:sz w:val="20"/>
                <w:szCs w:val="22"/>
              </w:rPr>
              <w:t>State a 1-2 year objective intended to improve a unit process, service, or output</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3A072F">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3A072F">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36346B">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p>
          <w:p w:rsidR="007C53D1" w:rsidRPr="003A072F" w:rsidRDefault="003A072F" w:rsidP="003A072F">
            <w:pPr>
              <w:autoSpaceDE w:val="0"/>
              <w:autoSpaceDN w:val="0"/>
              <w:adjustRightInd w:val="0"/>
              <w:rPr>
                <w:rFonts w:ascii="TT2A1t00" w:eastAsiaTheme="minorHAnsi" w:hAnsi="TT2A1t00" w:cs="TT2A1t00"/>
                <w:sz w:val="22"/>
                <w:szCs w:val="22"/>
              </w:rPr>
            </w:pPr>
            <w:r>
              <w:rPr>
                <w:rFonts w:ascii="TT2A1t00" w:eastAsiaTheme="minorHAnsi" w:hAnsi="TT2A1t00" w:cs="TT2A1t00"/>
              </w:rPr>
              <w:t xml:space="preserve">Formulate a three year plan to </w:t>
            </w:r>
            <w:r>
              <w:rPr>
                <w:rFonts w:ascii="TT2A1t00" w:eastAsiaTheme="minorHAnsi" w:hAnsi="TT2A1t00" w:cs="TT2A1t00"/>
                <w:sz w:val="22"/>
                <w:szCs w:val="22"/>
              </w:rPr>
              <w:t>establish realistic, obtainable and measurable short and long term goals tied to customer satisfaction and the larger university goals/objectives are important measures for this objective.</w:t>
            </w:r>
          </w:p>
          <w:p w:rsidR="00B33479" w:rsidRPr="009860CD" w:rsidRDefault="00B33479" w:rsidP="0036346B">
            <w:pPr>
              <w:rPr>
                <w:rFonts w:ascii="Arial Narrow" w:hAnsi="Arial Narrow"/>
              </w:rPr>
            </w:pPr>
          </w:p>
          <w:p w:rsidR="007C53D1" w:rsidRPr="00431236" w:rsidRDefault="007C53D1" w:rsidP="0036346B">
            <w:pPr>
              <w:rPr>
                <w:rFonts w:ascii="Arial Narrow" w:hAnsi="Arial Narrow"/>
              </w:rPr>
            </w:pPr>
            <w:r w:rsidRPr="00431236">
              <w:rPr>
                <w:rFonts w:ascii="Arial Narrow" w:hAnsi="Arial Narrow"/>
                <w:i/>
                <w:sz w:val="20"/>
                <w:szCs w:val="22"/>
              </w:rPr>
              <w:t>Rationale</w:t>
            </w:r>
            <w:r w:rsidR="0078704B" w:rsidRPr="00431236">
              <w:rPr>
                <w:rFonts w:ascii="Arial Narrow" w:hAnsi="Arial Narrow"/>
                <w:i/>
                <w:sz w:val="20"/>
                <w:szCs w:val="22"/>
              </w:rPr>
              <w:t xml:space="preserve"> </w:t>
            </w:r>
            <w:r w:rsidRPr="00431236">
              <w:rPr>
                <w:rFonts w:ascii="Arial Narrow" w:hAnsi="Arial Narrow"/>
                <w:i/>
                <w:sz w:val="20"/>
                <w:szCs w:val="22"/>
              </w:rPr>
              <w:t>(</w:t>
            </w:r>
            <w:r w:rsidR="0078704B" w:rsidRPr="00431236">
              <w:rPr>
                <w:rFonts w:ascii="Arial Narrow" w:hAnsi="Arial Narrow"/>
                <w:i/>
                <w:sz w:val="20"/>
                <w:szCs w:val="22"/>
              </w:rPr>
              <w:t>W</w:t>
            </w:r>
            <w:r w:rsidRPr="00431236">
              <w:rPr>
                <w:rFonts w:ascii="Arial Narrow" w:hAnsi="Arial Narrow"/>
                <w:i/>
                <w:sz w:val="20"/>
                <w:szCs w:val="22"/>
              </w:rPr>
              <w:t>hy you are setting this objective</w:t>
            </w:r>
            <w:r w:rsidR="0078704B" w:rsidRPr="00431236">
              <w:rPr>
                <w:rFonts w:ascii="Arial Narrow" w:hAnsi="Arial Narrow"/>
                <w:i/>
                <w:sz w:val="20"/>
                <w:szCs w:val="22"/>
              </w:rPr>
              <w:t xml:space="preserve">; </w:t>
            </w:r>
            <w:r w:rsidR="00122E20" w:rsidRPr="00431236">
              <w:rPr>
                <w:rFonts w:ascii="Arial Narrow" w:hAnsi="Arial Narrow"/>
                <w:i/>
                <w:sz w:val="20"/>
                <w:szCs w:val="22"/>
              </w:rPr>
              <w:t>mark with “X”</w:t>
            </w:r>
            <w:r w:rsidRPr="00431236">
              <w:rPr>
                <w:rFonts w:ascii="Arial Narrow" w:hAnsi="Arial Narrow"/>
                <w:i/>
                <w:sz w:val="20"/>
                <w:szCs w:val="22"/>
              </w:rPr>
              <w:t>)</w:t>
            </w:r>
            <w:r w:rsidRPr="00431236">
              <w:rPr>
                <w:rFonts w:ascii="Arial Narrow" w:hAnsi="Arial Narrow"/>
                <w:sz w:val="20"/>
                <w:szCs w:val="22"/>
              </w:rPr>
              <w:t>:</w:t>
            </w:r>
          </w:p>
          <w:p w:rsidR="007C53D1" w:rsidRPr="00431236" w:rsidRDefault="003A072F" w:rsidP="0036346B">
            <w:pPr>
              <w:rPr>
                <w:rFonts w:ascii="Arial Narrow" w:hAnsi="Arial Narrow"/>
              </w:rPr>
            </w:pPr>
            <w:r>
              <w:rPr>
                <w:rFonts w:ascii="Arial Narrow" w:hAnsi="Arial Narrow"/>
                <w:sz w:val="20"/>
                <w:szCs w:val="22"/>
                <w:u w:val="single"/>
              </w:rPr>
              <w:t>X</w:t>
            </w:r>
            <w:r w:rsidR="007C53D1" w:rsidRPr="00431236">
              <w:rPr>
                <w:rFonts w:ascii="Arial Narrow" w:hAnsi="Arial Narrow"/>
                <w:sz w:val="20"/>
                <w:szCs w:val="22"/>
              </w:rPr>
              <w:t xml:space="preserve"> Effectiveness/quality action </w:t>
            </w:r>
            <w:r w:rsidR="007C53D1" w:rsidRPr="00431236">
              <w:rPr>
                <w:rFonts w:ascii="Arial Narrow" w:hAnsi="Arial Narrow"/>
                <w:sz w:val="20"/>
                <w:szCs w:val="22"/>
                <w:u w:val="single"/>
              </w:rPr>
              <w:sym w:font="Symbol" w:char="F092"/>
            </w:r>
            <w:r w:rsidR="007C53D1" w:rsidRPr="00431236">
              <w:rPr>
                <w:rFonts w:ascii="Arial Narrow" w:hAnsi="Arial Narrow"/>
                <w:sz w:val="20"/>
                <w:szCs w:val="22"/>
              </w:rPr>
              <w:t xml:space="preserve"> Efficiency/cost action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007F6E35">
              <w:rPr>
                <w:rFonts w:ascii="Arial Narrow" w:hAnsi="Arial Narrow"/>
                <w:sz w:val="20"/>
                <w:szCs w:val="22"/>
                <w:u w:val="single"/>
              </w:rPr>
              <w:t>X</w:t>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7C53D1" w:rsidRPr="009860CD" w:rsidRDefault="007C53D1" w:rsidP="0036346B">
            <w:pPr>
              <w:rPr>
                <w:rFonts w:ascii="Arial Narrow" w:hAnsi="Arial Narrow"/>
              </w:rPr>
            </w:pPr>
          </w:p>
          <w:p w:rsidR="00431236" w:rsidRPr="00C63E27" w:rsidRDefault="00C63E27" w:rsidP="00C63E27">
            <w:pPr>
              <w:rPr>
                <w:rFonts w:ascii="Arial Narrow" w:hAnsi="Arial Narrow"/>
                <w:i/>
                <w:sz w:val="20"/>
                <w:szCs w:val="20"/>
              </w:rPr>
            </w:pPr>
            <w:r>
              <w:rPr>
                <w:rFonts w:ascii="Arial Narrow" w:hAnsi="Arial Narrow"/>
                <w:i/>
                <w:sz w:val="20"/>
                <w:szCs w:val="20"/>
              </w:rPr>
              <w:t xml:space="preserve">Alignment </w:t>
            </w:r>
            <w:r w:rsidR="00431236" w:rsidRPr="00C63E27">
              <w:rPr>
                <w:rFonts w:ascii="Arial Narrow" w:hAnsi="Arial Narrow"/>
                <w:i/>
                <w:sz w:val="20"/>
                <w:szCs w:val="20"/>
              </w:rPr>
              <w:t>(Refer to last pages)</w:t>
            </w:r>
          </w:p>
          <w:p w:rsidR="00431236" w:rsidRPr="00C63E27" w:rsidRDefault="00431236" w:rsidP="00C63E27">
            <w:pPr>
              <w:pStyle w:val="ListParagraph"/>
              <w:numPr>
                <w:ilvl w:val="0"/>
                <w:numId w:val="3"/>
              </w:numPr>
              <w:ind w:left="360"/>
              <w:rPr>
                <w:rFonts w:ascii="Arial Narrow" w:hAnsi="Arial Narrow"/>
                <w:i/>
                <w:sz w:val="20"/>
                <w:szCs w:val="20"/>
              </w:rPr>
            </w:pPr>
            <w:r w:rsidRPr="00C63E27">
              <w:rPr>
                <w:rFonts w:ascii="Arial Narrow" w:hAnsi="Arial Narrow"/>
                <w:i/>
                <w:sz w:val="20"/>
                <w:szCs w:val="20"/>
              </w:rPr>
              <w:t xml:space="preserve">Which AQIP category does this address? </w:t>
            </w:r>
          </w:p>
          <w:p w:rsidR="007F6E35" w:rsidRDefault="0078704B" w:rsidP="007F6E35">
            <w:pPr>
              <w:pStyle w:val="ListParagraph"/>
              <w:numPr>
                <w:ilvl w:val="0"/>
                <w:numId w:val="3"/>
              </w:numPr>
              <w:ind w:left="360"/>
              <w:rPr>
                <w:rFonts w:ascii="Arial Narrow" w:hAnsi="Arial Narrow"/>
              </w:rPr>
            </w:pPr>
            <w:r w:rsidRPr="00C63E27">
              <w:rPr>
                <w:rFonts w:ascii="Arial Narrow" w:hAnsi="Arial Narrow"/>
                <w:i/>
                <w:sz w:val="20"/>
                <w:szCs w:val="20"/>
              </w:rPr>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7F6E35">
              <w:rPr>
                <w:rFonts w:ascii="Arial Narrow" w:hAnsi="Arial Narrow"/>
              </w:rPr>
              <w:t xml:space="preserve"> </w:t>
            </w:r>
          </w:p>
          <w:p w:rsidR="007C53D1" w:rsidRPr="007F6E35" w:rsidRDefault="007F6E35" w:rsidP="007F6E35">
            <w:pPr>
              <w:pStyle w:val="ListParagraph"/>
              <w:ind w:left="360"/>
              <w:rPr>
                <w:rFonts w:ascii="Arial Narrow" w:hAnsi="Arial Narrow"/>
              </w:rPr>
            </w:pPr>
            <w:r w:rsidRPr="007F6E35">
              <w:rPr>
                <w:rFonts w:ascii="Arial Narrow" w:hAnsi="Arial Narrow"/>
              </w:rPr>
              <w:t>I-1; I-3; CA-2; CE-1; CE-4</w:t>
            </w:r>
            <w:r w:rsidR="00055B6F" w:rsidRPr="007F6E35">
              <w:rPr>
                <w:rFonts w:ascii="Arial Narrow" w:hAnsi="Arial Narrow"/>
              </w:rPr>
              <w:t xml:space="preserve">  </w:t>
            </w:r>
          </w:p>
        </w:tc>
        <w:tc>
          <w:tcPr>
            <w:tcW w:w="129" w:type="pct"/>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7F6E35" w:rsidRPr="007F6E35" w:rsidRDefault="007F6E35" w:rsidP="007F6E35">
            <w:pPr>
              <w:autoSpaceDE w:val="0"/>
              <w:autoSpaceDN w:val="0"/>
              <w:adjustRightInd w:val="0"/>
              <w:rPr>
                <w:rFonts w:ascii="TT2A1t00" w:eastAsiaTheme="minorHAnsi" w:hAnsi="TT2A1t00" w:cs="TT2A1t00"/>
                <w:sz w:val="22"/>
                <w:szCs w:val="22"/>
              </w:rPr>
            </w:pPr>
            <w:r w:rsidRPr="007F6E35">
              <w:rPr>
                <w:rFonts w:ascii="TT2A1t00" w:eastAsiaTheme="minorHAnsi" w:hAnsi="TT2A1t00" w:cs="TT2A1t00"/>
                <w:sz w:val="22"/>
                <w:szCs w:val="22"/>
              </w:rPr>
              <w:t>Conduct a strategic planning session for the newly recombined office/functions and a review of all programs and processes by:</w:t>
            </w:r>
          </w:p>
          <w:p w:rsidR="007F6E35" w:rsidRPr="007F6E35" w:rsidRDefault="007F6E35" w:rsidP="007F6E35">
            <w:pPr>
              <w:autoSpaceDE w:val="0"/>
              <w:autoSpaceDN w:val="0"/>
              <w:adjustRightInd w:val="0"/>
              <w:rPr>
                <w:rFonts w:ascii="TT2A1t00" w:eastAsiaTheme="minorHAnsi" w:hAnsi="TT2A1t00" w:cs="TT2A1t00"/>
                <w:sz w:val="22"/>
                <w:szCs w:val="22"/>
              </w:rPr>
            </w:pPr>
            <w:r w:rsidRPr="007F6E35">
              <w:rPr>
                <w:rFonts w:ascii="TT2A1t00" w:eastAsiaTheme="minorHAnsi" w:hAnsi="TT2A1t00" w:cs="TT2A1t00"/>
                <w:sz w:val="22"/>
                <w:szCs w:val="22"/>
              </w:rPr>
              <w:t>a. Select an outside convener by the end of August 2011.</w:t>
            </w:r>
          </w:p>
          <w:p w:rsidR="007F6E35" w:rsidRPr="007F6E35" w:rsidRDefault="007F6E35" w:rsidP="007F6E35">
            <w:pPr>
              <w:autoSpaceDE w:val="0"/>
              <w:autoSpaceDN w:val="0"/>
              <w:adjustRightInd w:val="0"/>
              <w:rPr>
                <w:rFonts w:ascii="TT2A1t00" w:eastAsiaTheme="minorHAnsi" w:hAnsi="TT2A1t00" w:cs="TT2A1t00"/>
                <w:sz w:val="22"/>
                <w:szCs w:val="22"/>
              </w:rPr>
            </w:pPr>
            <w:r w:rsidRPr="007F6E35">
              <w:rPr>
                <w:rFonts w:ascii="TT2A1t00" w:eastAsiaTheme="minorHAnsi" w:hAnsi="TT2A1t00" w:cs="TT2A1t00"/>
                <w:sz w:val="22"/>
                <w:szCs w:val="22"/>
              </w:rPr>
              <w:t>b. Select participants external to the office to include in the planning process and hold the first meeting in September 2011.</w:t>
            </w:r>
          </w:p>
          <w:p w:rsidR="007C53D1" w:rsidRPr="007F6E35" w:rsidRDefault="007F6E35" w:rsidP="007F6E35">
            <w:pPr>
              <w:autoSpaceDE w:val="0"/>
              <w:autoSpaceDN w:val="0"/>
              <w:adjustRightInd w:val="0"/>
              <w:rPr>
                <w:rFonts w:ascii="TT2A1t00" w:eastAsiaTheme="minorHAnsi" w:hAnsi="TT2A1t00" w:cs="TT2A1t00"/>
                <w:sz w:val="22"/>
                <w:szCs w:val="22"/>
              </w:rPr>
            </w:pPr>
            <w:r w:rsidRPr="007F6E35">
              <w:rPr>
                <w:rFonts w:ascii="TT2A1t00" w:eastAsiaTheme="minorHAnsi" w:hAnsi="TT2A1t00" w:cs="TT2A1t00"/>
                <w:sz w:val="22"/>
                <w:szCs w:val="22"/>
              </w:rPr>
              <w:t>c. Develop new mission statement and short/long term goals as result of the process by the end of November 2011.</w:t>
            </w:r>
          </w:p>
          <w:p w:rsidR="00B33479" w:rsidRPr="00B33479" w:rsidRDefault="00B33479" w:rsidP="00B33479">
            <w:pPr>
              <w:pStyle w:val="Default"/>
              <w:rPr>
                <w:rFonts w:ascii="Arial Narrow" w:hAnsi="Arial Narrow" w:cs="Arial"/>
                <w:i/>
                <w:sz w:val="22"/>
                <w:szCs w:val="22"/>
              </w:rPr>
            </w:pPr>
          </w:p>
          <w:p w:rsidR="00824F9B" w:rsidRDefault="007C53D1" w:rsidP="00B33479">
            <w:pPr>
              <w:pStyle w:val="Default"/>
              <w:rPr>
                <w:rFonts w:ascii="Arial Narrow" w:hAnsi="Arial Narrow" w:cs="Arial"/>
                <w:sz w:val="20"/>
                <w:szCs w:val="20"/>
              </w:rPr>
            </w:pPr>
            <w:r w:rsidRPr="00C63E27">
              <w:rPr>
                <w:rFonts w:ascii="Arial Narrow" w:hAnsi="Arial Narrow" w:cs="Arial"/>
                <w:i/>
                <w:sz w:val="20"/>
                <w:szCs w:val="20"/>
              </w:rPr>
              <w:t xml:space="preserve">Beyond completing the </w:t>
            </w:r>
            <w:r w:rsidR="00055B6F" w:rsidRPr="00C63E27">
              <w:rPr>
                <w:rFonts w:ascii="Arial Narrow" w:hAnsi="Arial Narrow" w:cs="Arial"/>
                <w:i/>
                <w:sz w:val="20"/>
                <w:szCs w:val="20"/>
              </w:rPr>
              <w:t xml:space="preserve">above </w:t>
            </w:r>
            <w:r w:rsidRPr="00C63E27">
              <w:rPr>
                <w:rFonts w:ascii="Arial Narrow" w:hAnsi="Arial Narrow" w:cs="Arial"/>
                <w:i/>
                <w:sz w:val="20"/>
                <w:szCs w:val="20"/>
              </w:rPr>
              <w:t xml:space="preserve">steps, how will you </w:t>
            </w:r>
            <w:r w:rsidR="009B18C4" w:rsidRPr="00C63E27">
              <w:rPr>
                <w:rFonts w:ascii="Arial Narrow" w:hAnsi="Arial Narrow" w:cs="Arial"/>
                <w:i/>
                <w:sz w:val="20"/>
                <w:szCs w:val="20"/>
              </w:rPr>
              <w:t xml:space="preserve">judge whether </w:t>
            </w:r>
            <w:r w:rsidRPr="00C63E27">
              <w:rPr>
                <w:rFonts w:ascii="Arial Narrow" w:hAnsi="Arial Narrow" w:cs="Arial"/>
                <w:i/>
                <w:sz w:val="20"/>
                <w:szCs w:val="20"/>
              </w:rPr>
              <w:t>the objective was a success</w:t>
            </w:r>
            <w:r w:rsidR="009B18C4" w:rsidRPr="00C63E27">
              <w:rPr>
                <w:rFonts w:ascii="Arial Narrow" w:hAnsi="Arial Narrow" w:cs="Arial"/>
                <w:i/>
                <w:sz w:val="20"/>
                <w:szCs w:val="20"/>
              </w:rPr>
              <w:t>?</w:t>
            </w:r>
            <w:r w:rsidR="00824F9B" w:rsidRPr="00C63E27">
              <w:rPr>
                <w:rFonts w:ascii="Arial Narrow" w:hAnsi="Arial Narrow" w:cs="Arial"/>
                <w:i/>
                <w:sz w:val="20"/>
                <w:szCs w:val="20"/>
              </w:rPr>
              <w:t xml:space="preserve"> </w:t>
            </w:r>
            <w:r w:rsidR="009B18C4" w:rsidRPr="00C63E27">
              <w:rPr>
                <w:rFonts w:ascii="Arial Narrow" w:hAnsi="Arial Narrow" w:cs="Arial"/>
                <w:i/>
                <w:sz w:val="20"/>
                <w:szCs w:val="20"/>
              </w:rPr>
              <w:t>Ex</w:t>
            </w:r>
            <w:r w:rsidR="00122E20" w:rsidRPr="00C63E27">
              <w:rPr>
                <w:rFonts w:ascii="Arial Narrow" w:hAnsi="Arial Narrow" w:cs="Arial"/>
                <w:i/>
                <w:sz w:val="20"/>
                <w:szCs w:val="20"/>
              </w:rPr>
              <w:t>amples:</w:t>
            </w:r>
            <w:r w:rsidR="00C63E27">
              <w:rPr>
                <w:rFonts w:ascii="Arial Narrow" w:hAnsi="Arial Narrow" w:cs="Arial"/>
                <w:i/>
                <w:sz w:val="20"/>
                <w:szCs w:val="20"/>
              </w:rPr>
              <w:t xml:space="preserve"> If t</w:t>
            </w:r>
            <w:r w:rsidR="009B18C4" w:rsidRPr="00C63E27">
              <w:rPr>
                <w:rFonts w:ascii="Arial Narrow" w:hAnsi="Arial Narrow" w:cs="Arial"/>
                <w:i/>
                <w:sz w:val="20"/>
                <w:szCs w:val="20"/>
              </w:rPr>
              <w:t xml:space="preserve">he rationale was Efficiency/cost, </w:t>
            </w:r>
            <w:r w:rsidRPr="00C63E27">
              <w:rPr>
                <w:rFonts w:ascii="Arial Narrow" w:hAnsi="Arial Narrow" w:cs="Arial"/>
                <w:i/>
                <w:sz w:val="20"/>
                <w:szCs w:val="20"/>
              </w:rPr>
              <w:t xml:space="preserve">what </w:t>
            </w:r>
            <w:proofErr w:type="gramStart"/>
            <w:r w:rsidRPr="00C63E27">
              <w:rPr>
                <w:rFonts w:ascii="Arial Narrow" w:hAnsi="Arial Narrow" w:cs="Arial"/>
                <w:i/>
                <w:sz w:val="20"/>
                <w:szCs w:val="20"/>
              </w:rPr>
              <w:t>is the desired and/or minimum target criteria</w:t>
            </w:r>
            <w:proofErr w:type="gramEnd"/>
            <w:r w:rsidRPr="00C63E27">
              <w:rPr>
                <w:rFonts w:ascii="Arial Narrow" w:hAnsi="Arial Narrow" w:cs="Arial"/>
                <w:i/>
                <w:sz w:val="20"/>
                <w:szCs w:val="20"/>
              </w:rPr>
              <w:t xml:space="preserve"> </w:t>
            </w:r>
            <w:r w:rsidR="00122E20" w:rsidRPr="00C63E27">
              <w:rPr>
                <w:rFonts w:ascii="Arial Narrow" w:hAnsi="Arial Narrow" w:cs="Arial"/>
                <w:i/>
                <w:sz w:val="20"/>
                <w:szCs w:val="20"/>
              </w:rPr>
              <w:t xml:space="preserve">for savings in time or cost? If the rationale was Satisfaction, what </w:t>
            </w:r>
            <w:proofErr w:type="gramStart"/>
            <w:r w:rsidR="00122E20" w:rsidRPr="00C63E27">
              <w:rPr>
                <w:rFonts w:ascii="Arial Narrow" w:hAnsi="Arial Narrow" w:cs="Arial"/>
                <w:i/>
                <w:sz w:val="20"/>
                <w:szCs w:val="20"/>
              </w:rPr>
              <w:t>is</w:t>
            </w:r>
            <w:proofErr w:type="gramEnd"/>
            <w:r w:rsidR="00122E20" w:rsidRPr="00C63E27">
              <w:rPr>
                <w:rFonts w:ascii="Arial Narrow" w:hAnsi="Arial Narrow" w:cs="Arial"/>
                <w:i/>
                <w:sz w:val="20"/>
                <w:szCs w:val="20"/>
              </w:rPr>
              <w:t xml:space="preserve"> the measure and what increase is desired</w:t>
            </w:r>
            <w:r w:rsidR="00122E20" w:rsidRPr="00C63E27">
              <w:rPr>
                <w:rFonts w:ascii="Arial Narrow" w:hAnsi="Arial Narrow" w:cs="Arial"/>
                <w:sz w:val="20"/>
                <w:szCs w:val="20"/>
              </w:rPr>
              <w:t>?</w:t>
            </w:r>
          </w:p>
          <w:p w:rsidR="007F6E35" w:rsidRPr="007F6E35" w:rsidRDefault="007F6E35" w:rsidP="007F6E35">
            <w:pPr>
              <w:autoSpaceDE w:val="0"/>
              <w:autoSpaceDN w:val="0"/>
              <w:adjustRightInd w:val="0"/>
              <w:rPr>
                <w:rFonts w:ascii="TT2A1t00" w:eastAsiaTheme="minorHAnsi" w:hAnsi="TT2A1t00" w:cs="TT2A1t00"/>
                <w:sz w:val="22"/>
                <w:szCs w:val="22"/>
              </w:rPr>
            </w:pPr>
            <w:r>
              <w:rPr>
                <w:rFonts w:ascii="TT2A1t00" w:eastAsiaTheme="minorHAnsi" w:hAnsi="TT2A1t00" w:cs="TT2A1t00"/>
                <w:sz w:val="22"/>
                <w:szCs w:val="22"/>
              </w:rPr>
              <w:t>As a result of the inclusion of external participants to the strategic planning, it is expected that new programs and/or reviving some continuing education programs will occur. A 10-20% increase in training offerings for companies is expected in contracted training.</w:t>
            </w:r>
          </w:p>
          <w:p w:rsidR="00B33479" w:rsidRPr="009860CD" w:rsidRDefault="00B33479" w:rsidP="00B33479">
            <w:pPr>
              <w:pStyle w:val="Default"/>
              <w:rPr>
                <w:rFonts w:ascii="Arial Narrow" w:hAnsi="Arial Narrow"/>
                <w:sz w:val="22"/>
                <w:szCs w:val="22"/>
              </w:rPr>
            </w:pP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3A072F">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3A072F">
            <w:pPr>
              <w:rPr>
                <w:rFonts w:ascii="Arial Narrow" w:hAnsi="Arial Narrow" w:cs="Arial"/>
              </w:rPr>
            </w:pPr>
          </w:p>
        </w:tc>
        <w:tc>
          <w:tcPr>
            <w:tcW w:w="2427" w:type="pct"/>
            <w:tcBorders>
              <w:top w:val="nil"/>
              <w:left w:val="nil"/>
              <w:bottom w:val="nil"/>
              <w:right w:val="nil"/>
            </w:tcBorders>
          </w:tcPr>
          <w:p w:rsidR="00A07684" w:rsidRDefault="00A07684" w:rsidP="003A072F">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Default="00A07684" w:rsidP="003A072F">
            <w:pPr>
              <w:spacing w:before="100" w:beforeAutospacing="1" w:after="120"/>
              <w:rPr>
                <w:rFonts w:ascii="Arial Narrow" w:hAnsi="Arial Narrow" w:cs="Arial"/>
                <w:i/>
                <w:sz w:val="22"/>
                <w:szCs w:val="22"/>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p w:rsidR="007F6E35" w:rsidRPr="007F6E35" w:rsidRDefault="007F6E35" w:rsidP="007F6E35">
            <w:r>
              <w:t xml:space="preserve">For a variety of reasons beyond the control of this department, a strategic planning session (while scheduled twice) did not occur.  However, internally the mission statement and all current programs were examined; short term goals as well as longer term goals were established and team planning/review continues on a weekly basis.   Additionally we examined how the Center for Rural Community and Economic Development would align with the </w:t>
            </w:r>
            <w:r>
              <w:lastRenderedPageBreak/>
              <w:t xml:space="preserve">department as per direction from the Provost.  </w:t>
            </w:r>
          </w:p>
        </w:tc>
        <w:tc>
          <w:tcPr>
            <w:tcW w:w="129" w:type="pct"/>
            <w:tcBorders>
              <w:top w:val="single" w:sz="4" w:space="0" w:color="auto"/>
              <w:left w:val="nil"/>
              <w:bottom w:val="nil"/>
              <w:right w:val="nil"/>
            </w:tcBorders>
          </w:tcPr>
          <w:p w:rsidR="00A07684" w:rsidRPr="009860CD" w:rsidRDefault="00A07684" w:rsidP="003A072F">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Default="00A07684" w:rsidP="003A072F">
            <w:pPr>
              <w:spacing w:before="100" w:beforeAutospacing="1" w:after="120"/>
              <w:rPr>
                <w:rFonts w:ascii="Arial Narrow" w:hAnsi="Arial Narrow" w:cs="Arial"/>
                <w:b/>
                <w:sz w:val="22"/>
                <w:szCs w:val="22"/>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p w:rsidR="007F6E35" w:rsidRDefault="007F6E35" w:rsidP="007F6E35">
            <w:r>
              <w:t xml:space="preserve">Contracted training offerings increased by almost double over the previous year from 21 classes to 48.  Additionally, looking at longer term industry needs NMU became certified this year to conduct Mine Safety and Health Administration (MSHA) training for surface mining.  This gives the university a new capacity to conduct a variety of training for future mining and excavation operations in the Upper Peninsula.  </w:t>
            </w:r>
          </w:p>
          <w:p w:rsidR="007F6E35" w:rsidRPr="009860CD" w:rsidRDefault="007F6E35" w:rsidP="003A072F">
            <w:pPr>
              <w:spacing w:before="100" w:beforeAutospacing="1" w:after="120"/>
              <w:rPr>
                <w:rFonts w:ascii="Arial Narrow" w:hAnsi="Arial Narrow" w:cs="Arial"/>
                <w:b/>
              </w:rPr>
            </w:pP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3A072F">
            <w:pPr>
              <w:rPr>
                <w:rFonts w:ascii="Arial Narrow" w:hAnsi="Arial Narrow"/>
              </w:rPr>
            </w:pPr>
            <w:r w:rsidRPr="009860CD">
              <w:rPr>
                <w:rFonts w:ascii="Arial Narrow" w:hAnsi="Arial Narrow"/>
                <w:sz w:val="22"/>
                <w:szCs w:val="22"/>
              </w:rPr>
              <w:lastRenderedPageBreak/>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3A072F">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3A072F">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r w:rsidR="00A07684" w:rsidRPr="009860CD" w:rsidTr="002C4E27">
        <w:trPr>
          <w:gridAfter w:val="1"/>
          <w:wAfter w:w="20" w:type="pct"/>
        </w:trPr>
        <w:tc>
          <w:tcPr>
            <w:tcW w:w="2424" w:type="pct"/>
            <w:tcBorders>
              <w:top w:val="nil"/>
              <w:left w:val="nil"/>
              <w:bottom w:val="single" w:sz="4" w:space="0" w:color="auto"/>
              <w:right w:val="nil"/>
            </w:tcBorders>
          </w:tcPr>
          <w:p w:rsidR="00A07684" w:rsidRPr="009860CD" w:rsidRDefault="00A07684" w:rsidP="003A072F">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3A072F">
            <w:pPr>
              <w:spacing w:before="240"/>
              <w:rPr>
                <w:rFonts w:ascii="Arial Narrow" w:hAnsi="Arial Narrow" w:cs="Arial"/>
              </w:rPr>
            </w:pPr>
          </w:p>
        </w:tc>
        <w:tc>
          <w:tcPr>
            <w:tcW w:w="2427" w:type="pct"/>
            <w:tcBorders>
              <w:top w:val="nil"/>
              <w:left w:val="nil"/>
              <w:bottom w:val="single" w:sz="4" w:space="0" w:color="auto"/>
              <w:right w:val="nil"/>
            </w:tcBorders>
          </w:tcPr>
          <w:p w:rsidR="00A07684" w:rsidRDefault="00A07684" w:rsidP="003A072F">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2C4E27" w:rsidP="003A072F">
            <w:pPr>
              <w:rPr>
                <w:rFonts w:ascii="Arial Narrow" w:hAnsi="Arial Narrow" w:cs="Arial"/>
                <w:b/>
              </w:rPr>
            </w:pPr>
            <w:r>
              <w:rPr>
                <w:rFonts w:ascii="Arial Narrow" w:hAnsi="Arial Narrow" w:cs="Arial"/>
                <w:b/>
                <w:sz w:val="22"/>
                <w:szCs w:val="22"/>
              </w:rPr>
              <w:t>Administrative Objective #3</w:t>
            </w:r>
            <w:r w:rsidR="00A07684" w:rsidRPr="009860CD">
              <w:rPr>
                <w:rFonts w:ascii="Arial Narrow" w:hAnsi="Arial Narrow" w:cs="Arial"/>
                <w:b/>
                <w:sz w:val="22"/>
                <w:szCs w:val="22"/>
              </w:rPr>
              <w:t xml:space="preserve"> </w:t>
            </w:r>
            <w:r w:rsidR="00A07684" w:rsidRPr="009860CD">
              <w:rPr>
                <w:rFonts w:ascii="Arial Narrow" w:hAnsi="Arial Narrow" w:cs="Arial"/>
                <w:i/>
                <w:sz w:val="22"/>
                <w:szCs w:val="22"/>
              </w:rPr>
              <w:t>(</w:t>
            </w:r>
            <w:r w:rsidR="00A07684" w:rsidRPr="00431236">
              <w:rPr>
                <w:rFonts w:ascii="Arial Narrow" w:hAnsi="Arial Narrow" w:cs="Arial"/>
                <w:i/>
                <w:sz w:val="20"/>
                <w:szCs w:val="22"/>
              </w:rPr>
              <w:t>State a 1-2 year objective intended to improve a unit process, service, or output</w:t>
            </w:r>
            <w:r w:rsidR="00A07684"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3A072F">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3A072F">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C63E27" w:rsidRDefault="007C53D1" w:rsidP="00972106">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p>
          <w:p w:rsidR="007C53D1" w:rsidRPr="007F6E35" w:rsidRDefault="007F6E35" w:rsidP="007F6E35">
            <w:pPr>
              <w:autoSpaceDE w:val="0"/>
              <w:autoSpaceDN w:val="0"/>
              <w:adjustRightInd w:val="0"/>
              <w:rPr>
                <w:rFonts w:ascii="TT2A1t00" w:eastAsiaTheme="minorHAnsi" w:hAnsi="TT2A1t00" w:cs="TT2A1t00"/>
              </w:rPr>
            </w:pPr>
            <w:r>
              <w:rPr>
                <w:rFonts w:ascii="TT2A1t00" w:eastAsiaTheme="minorHAnsi" w:hAnsi="TT2A1t00" w:cs="TT2A1t00"/>
              </w:rPr>
              <w:t>Review effectiveness and increase usability (user-friendly and accessibility) of organization’s website.</w:t>
            </w:r>
          </w:p>
          <w:p w:rsidR="007C53D1" w:rsidRPr="00C63E27" w:rsidRDefault="007C53D1" w:rsidP="00972106">
            <w:pPr>
              <w:rPr>
                <w:rFonts w:ascii="Arial Narrow" w:hAnsi="Arial Narrow"/>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7F6E35"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rPr>
              <w:t xml:space="preserve"> Effectiveness/quality action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007F6E35">
              <w:rPr>
                <w:rFonts w:ascii="Arial Narrow" w:hAnsi="Arial Narrow"/>
                <w:sz w:val="20"/>
                <w:szCs w:val="22"/>
                <w:u w:val="single"/>
              </w:rPr>
              <w:t>X</w:t>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 xml:space="preserve">Which AQIP category does this address? </w:t>
            </w:r>
          </w:p>
          <w:p w:rsidR="007C53D1" w:rsidRPr="007F6E35"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p>
          <w:p w:rsidR="007F6E35" w:rsidRPr="00C63E27" w:rsidRDefault="007F6E35" w:rsidP="007F6E35">
            <w:pPr>
              <w:pStyle w:val="ListParagraph"/>
              <w:ind w:left="360"/>
              <w:rPr>
                <w:rFonts w:ascii="Arial Narrow" w:hAnsi="Arial Narrow"/>
              </w:rPr>
            </w:pPr>
            <w:r>
              <w:rPr>
                <w:rFonts w:ascii="TT2A1t00" w:eastAsiaTheme="minorHAnsi" w:hAnsi="TT2A1t00" w:cs="TT2A1t00"/>
              </w:rPr>
              <w:t>ML-3; CA-2; CE-1; CE-4</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Default="007C53D1" w:rsidP="00972106">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7F6E35" w:rsidRDefault="007F6E35" w:rsidP="007F6E35">
            <w:pPr>
              <w:autoSpaceDE w:val="0"/>
              <w:autoSpaceDN w:val="0"/>
              <w:adjustRightInd w:val="0"/>
              <w:rPr>
                <w:rFonts w:ascii="TT2A1t00" w:eastAsiaTheme="minorHAnsi" w:hAnsi="TT2A1t00" w:cs="TT2A1t00"/>
              </w:rPr>
            </w:pPr>
            <w:r>
              <w:rPr>
                <w:rFonts w:ascii="TT2A1t00" w:eastAsiaTheme="minorHAnsi" w:hAnsi="TT2A1t00" w:cs="TT2A1t00"/>
              </w:rPr>
              <w:t>Review organizational website, combine information from Continuing Education and Workforce Development and improve and simplify registration process for on-line</w:t>
            </w:r>
          </w:p>
          <w:p w:rsidR="007F6E35" w:rsidRDefault="007F6E35" w:rsidP="007F6E35">
            <w:pPr>
              <w:autoSpaceDE w:val="0"/>
              <w:autoSpaceDN w:val="0"/>
              <w:adjustRightInd w:val="0"/>
              <w:rPr>
                <w:rFonts w:ascii="TT2A1t00" w:eastAsiaTheme="minorHAnsi" w:hAnsi="TT2A1t00" w:cs="TT2A1t00"/>
              </w:rPr>
            </w:pPr>
            <w:r>
              <w:rPr>
                <w:rFonts w:ascii="TT2A1t00" w:eastAsiaTheme="minorHAnsi" w:hAnsi="TT2A1t00" w:cs="TT2A1t00"/>
              </w:rPr>
              <w:t>classes and webinars by:</w:t>
            </w:r>
          </w:p>
          <w:p w:rsidR="007F6E35" w:rsidRDefault="007F6E35" w:rsidP="007F6E35">
            <w:pPr>
              <w:autoSpaceDE w:val="0"/>
              <w:autoSpaceDN w:val="0"/>
              <w:adjustRightInd w:val="0"/>
              <w:rPr>
                <w:rFonts w:ascii="TT2A1t00" w:eastAsiaTheme="minorHAnsi" w:hAnsi="TT2A1t00" w:cs="TT2A1t00"/>
                <w:sz w:val="22"/>
                <w:szCs w:val="22"/>
              </w:rPr>
            </w:pPr>
            <w:r>
              <w:rPr>
                <w:rFonts w:ascii="TT2A1t00" w:eastAsiaTheme="minorHAnsi" w:hAnsi="TT2A1t00" w:cs="TT2A1t00"/>
                <w:sz w:val="22"/>
                <w:szCs w:val="22"/>
              </w:rPr>
              <w:t>a. Select a review team by end of September 2011. Review team will include at least one member from IS-IT.</w:t>
            </w:r>
          </w:p>
          <w:p w:rsidR="007F6E35" w:rsidRDefault="007F6E35" w:rsidP="007F6E35">
            <w:pPr>
              <w:autoSpaceDE w:val="0"/>
              <w:autoSpaceDN w:val="0"/>
              <w:adjustRightInd w:val="0"/>
              <w:rPr>
                <w:rFonts w:ascii="TT2A1t00" w:eastAsiaTheme="minorHAnsi" w:hAnsi="TT2A1t00" w:cs="TT2A1t00"/>
                <w:sz w:val="22"/>
                <w:szCs w:val="22"/>
              </w:rPr>
            </w:pPr>
            <w:r>
              <w:rPr>
                <w:rFonts w:ascii="TT2A1t00" w:eastAsiaTheme="minorHAnsi" w:hAnsi="TT2A1t00" w:cs="TT2A1t00"/>
                <w:sz w:val="22"/>
                <w:szCs w:val="22"/>
              </w:rPr>
              <w:t>b. Review Team to conduct a full review of site and registration processes by the end of the year.</w:t>
            </w:r>
          </w:p>
          <w:p w:rsidR="007F6E35" w:rsidRDefault="007F6E35" w:rsidP="007F6E35">
            <w:pPr>
              <w:autoSpaceDE w:val="0"/>
              <w:autoSpaceDN w:val="0"/>
              <w:adjustRightInd w:val="0"/>
              <w:rPr>
                <w:rFonts w:ascii="TT2A1t00" w:eastAsiaTheme="minorHAnsi" w:hAnsi="TT2A1t00" w:cs="TT2A1t00"/>
                <w:sz w:val="22"/>
                <w:szCs w:val="22"/>
              </w:rPr>
            </w:pPr>
            <w:r>
              <w:rPr>
                <w:rFonts w:ascii="TT2A1t00" w:eastAsiaTheme="minorHAnsi" w:hAnsi="TT2A1t00" w:cs="TT2A1t00"/>
                <w:sz w:val="22"/>
                <w:szCs w:val="22"/>
              </w:rPr>
              <w:t>c. Review Team to develop recommendations to Director for improvements by the end of January 2012.</w:t>
            </w:r>
          </w:p>
          <w:p w:rsidR="007C53D1" w:rsidRPr="007F6E35" w:rsidRDefault="007F6E35" w:rsidP="007F6E35">
            <w:pPr>
              <w:autoSpaceDE w:val="0"/>
              <w:autoSpaceDN w:val="0"/>
              <w:adjustRightInd w:val="0"/>
              <w:rPr>
                <w:rFonts w:ascii="TT2A1t00" w:eastAsiaTheme="minorHAnsi" w:hAnsi="TT2A1t00" w:cs="TT2A1t00"/>
                <w:sz w:val="22"/>
                <w:szCs w:val="22"/>
              </w:rPr>
            </w:pPr>
            <w:r>
              <w:rPr>
                <w:rFonts w:ascii="TT2A1t00" w:eastAsiaTheme="minorHAnsi" w:hAnsi="TT2A1t00" w:cs="TT2A1t00"/>
                <w:sz w:val="22"/>
                <w:szCs w:val="22"/>
              </w:rPr>
              <w:t>d. Review Team to assist in making approved changes by the end of April 2012.</w:t>
            </w:r>
          </w:p>
          <w:p w:rsidR="007C53D1" w:rsidRPr="009860CD" w:rsidRDefault="007C53D1" w:rsidP="00972106">
            <w:pPr>
              <w:pStyle w:val="Default"/>
              <w:rPr>
                <w:rFonts w:ascii="Arial Narrow" w:hAnsi="Arial Narrow" w:cs="Arial"/>
                <w:sz w:val="22"/>
                <w:szCs w:val="22"/>
              </w:rPr>
            </w:pPr>
          </w:p>
          <w:p w:rsidR="007C53D1" w:rsidRDefault="0078704B" w:rsidP="00972106">
            <w:pPr>
              <w:pStyle w:val="Default"/>
              <w:rPr>
                <w:rFonts w:ascii="Arial Narrow" w:hAnsi="Arial Narrow" w:cs="Arial"/>
                <w:sz w:val="22"/>
                <w:szCs w:val="22"/>
              </w:rPr>
            </w:pPr>
            <w:r w:rsidRPr="00C63E27">
              <w:rPr>
                <w:rFonts w:ascii="Arial Narrow" w:hAnsi="Arial Narrow" w:cs="Arial"/>
                <w:i/>
                <w:sz w:val="20"/>
                <w:szCs w:val="22"/>
              </w:rPr>
              <w:t>Beyond completing the above steps, how will you judge whether the objective was a success</w:t>
            </w:r>
            <w:r w:rsidR="007C53D1" w:rsidRPr="009860CD">
              <w:rPr>
                <w:rFonts w:ascii="Arial Narrow" w:hAnsi="Arial Narrow" w:cs="Arial"/>
                <w:sz w:val="22"/>
                <w:szCs w:val="22"/>
              </w:rPr>
              <w:t>?</w:t>
            </w:r>
            <w:r w:rsidR="00C63E27">
              <w:rPr>
                <w:rFonts w:ascii="Arial Narrow" w:hAnsi="Arial Narrow" w:cs="Arial"/>
                <w:sz w:val="22"/>
                <w:szCs w:val="22"/>
              </w:rPr>
              <w:t xml:space="preserve"> </w:t>
            </w:r>
          </w:p>
          <w:p w:rsidR="007F6E35" w:rsidRPr="007F6E35" w:rsidRDefault="007F6E35" w:rsidP="007F6E35">
            <w:pPr>
              <w:autoSpaceDE w:val="0"/>
              <w:autoSpaceDN w:val="0"/>
              <w:adjustRightInd w:val="0"/>
              <w:rPr>
                <w:rFonts w:ascii="TT2A1t00" w:eastAsiaTheme="minorHAnsi" w:hAnsi="TT2A1t00" w:cs="TT2A1t00"/>
                <w:sz w:val="22"/>
                <w:szCs w:val="22"/>
              </w:rPr>
            </w:pPr>
            <w:r>
              <w:rPr>
                <w:rFonts w:ascii="TT2A1t00" w:eastAsiaTheme="minorHAnsi" w:hAnsi="TT2A1t00" w:cs="TT2A1t00"/>
                <w:sz w:val="22"/>
                <w:szCs w:val="22"/>
              </w:rPr>
              <w:t>The goal is to increase web usage by 10% and decrease displeasure with ease of course and webinar registration (not currently measured but reported by office staff) through the use of small focus groups who will be asked to rate the website for ease of use and accessibility. Web usage will be measured via university web analytics.</w:t>
            </w:r>
          </w:p>
          <w:p w:rsidR="007C53D1" w:rsidRPr="009860CD" w:rsidRDefault="007C53D1" w:rsidP="00972106">
            <w:pPr>
              <w:pStyle w:val="Default"/>
              <w:rPr>
                <w:rFonts w:ascii="Arial Narrow" w:hAnsi="Arial Narrow"/>
                <w:sz w:val="22"/>
                <w:szCs w:val="22"/>
              </w:rPr>
            </w:pP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3A072F">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3A072F">
            <w:pPr>
              <w:rPr>
                <w:rFonts w:ascii="Arial Narrow" w:hAnsi="Arial Narrow" w:cs="Arial"/>
              </w:rPr>
            </w:pPr>
          </w:p>
        </w:tc>
        <w:tc>
          <w:tcPr>
            <w:tcW w:w="2427" w:type="pct"/>
            <w:tcBorders>
              <w:top w:val="nil"/>
              <w:left w:val="nil"/>
              <w:bottom w:val="nil"/>
              <w:right w:val="nil"/>
            </w:tcBorders>
          </w:tcPr>
          <w:p w:rsidR="00A07684" w:rsidRDefault="00A07684" w:rsidP="003A072F">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Default="00A07684" w:rsidP="003A072F">
            <w:pPr>
              <w:spacing w:before="100" w:beforeAutospacing="1" w:after="120"/>
              <w:rPr>
                <w:rFonts w:ascii="Arial Narrow" w:hAnsi="Arial Narrow" w:cs="Arial"/>
                <w:i/>
                <w:sz w:val="22"/>
                <w:szCs w:val="22"/>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#3</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p w:rsidR="007F6E35" w:rsidRDefault="007F6E35" w:rsidP="007F6E35">
            <w:r>
              <w:t xml:space="preserve">A review of the organizational website was conducted and changes were made to combine the two websites (CE and WF) from different locations into one site.  As well, the website for the Center for Rural Community and Economic Development was updated, improved and linked to the CEWFD site.   Additionally, on line registration (shopping cart) for webinar classes was improved with the help of IS-IT after a review of last year’s comments from customers, staff and instructors.  A new, more </w:t>
            </w:r>
            <w:proofErr w:type="gramStart"/>
            <w:r>
              <w:t>user</w:t>
            </w:r>
            <w:proofErr w:type="gramEnd"/>
            <w:r>
              <w:t xml:space="preserve"> friendly on line registration process was determined to be needed.  </w:t>
            </w:r>
            <w:proofErr w:type="spellStart"/>
            <w:r>
              <w:t>Regonline</w:t>
            </w:r>
            <w:proofErr w:type="spellEnd"/>
            <w:r>
              <w:t xml:space="preserve"> was reviewed as a possibility to solving the complexity of making changes to shopping cart and for the addition of workforce classes.  Workforce course registration </w:t>
            </w:r>
            <w:r>
              <w:lastRenderedPageBreak/>
              <w:t xml:space="preserve">has traditionally been done manually via fax and phone call without the ability for companies/students to utilize credit cards.  Currently changes or additions or deletions, etc. to shopping cart must be made by IS-IT personnel, although reports are available to department staff.  EMMA email contact/advertising data indicated that about 22% of the emails were opened and over 3300 email recipients clicked a link to visit the Continuing Education and Workforce Development website after reading the email.  </w:t>
            </w:r>
          </w:p>
          <w:p w:rsidR="007F6E35" w:rsidRPr="009860CD" w:rsidRDefault="007F6E35" w:rsidP="003A072F">
            <w:pPr>
              <w:spacing w:before="100" w:beforeAutospacing="1" w:after="120"/>
              <w:rPr>
                <w:rFonts w:ascii="Arial Narrow" w:hAnsi="Arial Narrow" w:cs="Arial"/>
                <w:b/>
              </w:rPr>
            </w:pPr>
          </w:p>
        </w:tc>
        <w:tc>
          <w:tcPr>
            <w:tcW w:w="129" w:type="pct"/>
            <w:tcBorders>
              <w:top w:val="single" w:sz="4" w:space="0" w:color="auto"/>
              <w:left w:val="nil"/>
              <w:bottom w:val="nil"/>
              <w:right w:val="nil"/>
            </w:tcBorders>
          </w:tcPr>
          <w:p w:rsidR="00A07684" w:rsidRPr="009860CD" w:rsidRDefault="00A07684" w:rsidP="003A072F">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Default="00A07684" w:rsidP="003A072F">
            <w:pPr>
              <w:spacing w:before="100" w:beforeAutospacing="1" w:after="120"/>
              <w:rPr>
                <w:rFonts w:ascii="Arial Narrow" w:hAnsi="Arial Narrow" w:cs="Arial"/>
                <w:b/>
                <w:sz w:val="22"/>
                <w:szCs w:val="22"/>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p w:rsidR="007F6E35" w:rsidRDefault="007F6E35" w:rsidP="007F6E35">
            <w:r>
              <w:t xml:space="preserve">We increased the number of webinar offerings this year by almost 10% from 53 to 57 and at least anecdotally (based on staff reports) the changes to the shopping cart were positive.  Obtaining </w:t>
            </w:r>
            <w:proofErr w:type="spellStart"/>
            <w:r>
              <w:t>Regonline</w:t>
            </w:r>
            <w:proofErr w:type="spellEnd"/>
            <w:r>
              <w:t xml:space="preserve"> however has proved to be more difficult.  Because of university policy, we were not able to obtain our own subaccount for </w:t>
            </w:r>
            <w:proofErr w:type="spellStart"/>
            <w:r>
              <w:t>Regonline</w:t>
            </w:r>
            <w:proofErr w:type="spellEnd"/>
            <w:r>
              <w:t xml:space="preserve"> and have had to use Conference and Catering staff to set up events (and pay on a per head basis for their services).  This method has proved to be a little problematic as several times their staff was unavailable at times when we felt the need to send course information out short notice.  We are jointly working on ways to fix this issue.  We did not convene small focus groups to rate the website for </w:t>
            </w:r>
            <w:r>
              <w:lastRenderedPageBreak/>
              <w:t xml:space="preserve">ease of use and accessibility as while it has been improved, not all of the suggested changes have been made to the site layout and content.  Web analytics improved as of April 2012 and after we obtain sufficient data, the information will be used as a baseline for improvement. Lastly, we were able to compare analytics on our email messaging/advertising in six months increments of the fiscal year and have some good baseline information to help track improvements going forward.     </w:t>
            </w:r>
          </w:p>
          <w:p w:rsidR="007F6E35" w:rsidRPr="009860CD" w:rsidRDefault="007F6E35" w:rsidP="003A072F">
            <w:pPr>
              <w:spacing w:before="100" w:beforeAutospacing="1" w:after="120"/>
              <w:rPr>
                <w:rFonts w:ascii="Arial Narrow" w:hAnsi="Arial Narrow" w:cs="Arial"/>
                <w:b/>
              </w:rPr>
            </w:pP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3A072F">
            <w:pPr>
              <w:rPr>
                <w:rFonts w:ascii="Arial Narrow" w:hAnsi="Arial Narrow"/>
              </w:rPr>
            </w:pPr>
            <w:r w:rsidRPr="009860CD">
              <w:rPr>
                <w:rFonts w:ascii="Arial Narrow" w:hAnsi="Arial Narrow"/>
                <w:sz w:val="22"/>
                <w:szCs w:val="22"/>
              </w:rPr>
              <w:lastRenderedPageBreak/>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3A072F">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3A072F">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bl>
    <w:p w:rsidR="00824F9B" w:rsidRDefault="00824F9B" w:rsidP="0036346B">
      <w:pPr>
        <w:rPr>
          <w:rFonts w:ascii="Arial Narrow" w:hAnsi="Arial Narrow"/>
          <w:b/>
          <w:sz w:val="22"/>
        </w:rPr>
      </w:pPr>
    </w:p>
    <w:p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rsidR="00FE3472" w:rsidRPr="0036346B" w:rsidRDefault="00FE3472" w:rsidP="00FE3472">
      <w:pPr>
        <w:outlineLvl w:val="0"/>
        <w:rPr>
          <w:rFonts w:ascii="Arial Narrow" w:hAnsi="Arial Narrow"/>
          <w:b/>
          <w:sz w:val="22"/>
        </w:rPr>
      </w:pPr>
      <w:r w:rsidRPr="00335A5C">
        <w:rPr>
          <w:rFonts w:ascii="Arial Narrow" w:hAnsi="Arial Narrow"/>
          <w:sz w:val="22"/>
        </w:rPr>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8"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tblPr>
      <w:tblGrid>
        <w:gridCol w:w="941"/>
        <w:gridCol w:w="9582"/>
      </w:tblGrid>
      <w:tr w:rsidR="00FE3472" w:rsidRPr="00FE3472" w:rsidTr="00FE3472">
        <w:tc>
          <w:tcPr>
            <w:tcW w:w="5000" w:type="pct"/>
            <w:gridSpan w:val="2"/>
            <w:shd w:val="clear" w:color="auto" w:fill="D9D9D9" w:themeFill="background1" w:themeFillShade="D9"/>
          </w:tcPr>
          <w:p w:rsidR="00FE3472" w:rsidRPr="00FE3472" w:rsidRDefault="00FE3472" w:rsidP="00FE3472">
            <w:pPr>
              <w:ind w:left="274" w:hanging="274"/>
              <w:jc w:val="center"/>
              <w:rPr>
                <w:rFonts w:ascii="Arial Narrow" w:hAnsi="Arial Narrow"/>
                <w:b/>
                <w:i/>
                <w:sz w:val="20"/>
                <w:szCs w:val="20"/>
              </w:rPr>
            </w:pPr>
            <w:r w:rsidRPr="00FE3472">
              <w:rPr>
                <w:rFonts w:ascii="Arial Narrow" w:hAnsi="Arial Narrow"/>
                <w:b/>
                <w:i/>
                <w:sz w:val="20"/>
                <w:szCs w:val="20"/>
              </w:rPr>
              <w:t>AQIP Categories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1</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2</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3</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 xml:space="preserve">Understanding Students’ and Other Stakeholders’ Needs documents how NMU builds relationships with students, alumni and employers and </w:t>
            </w:r>
            <w:proofErr w:type="gramStart"/>
            <w:r w:rsidRPr="000B004B">
              <w:rPr>
                <w:rFonts w:ascii="Arial Narrow" w:hAnsi="Arial Narrow"/>
                <w:sz w:val="20"/>
                <w:szCs w:val="20"/>
              </w:rPr>
              <w:t>identifies,</w:t>
            </w:r>
            <w:proofErr w:type="gramEnd"/>
            <w:r w:rsidRPr="000B004B">
              <w:rPr>
                <w:rFonts w:ascii="Arial Narrow" w:hAnsi="Arial Narrow"/>
                <w:sz w:val="20"/>
                <w:szCs w:val="20"/>
              </w:rPr>
              <w:t xml:space="preserve"> targets and meets their needs.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4</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5</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6</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7</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8</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9</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t xml:space="preserve">(A full description of the Portfolio’s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FE3472" w:rsidRDefault="00FE3472" w:rsidP="009860CD">
      <w:pPr>
        <w:outlineLvl w:val="0"/>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0"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820" w:type="pct"/>
        <w:tblInd w:w="288" w:type="dxa"/>
        <w:tblLook w:val="04A0"/>
      </w:tblPr>
      <w:tblGrid>
        <w:gridCol w:w="650"/>
        <w:gridCol w:w="9969"/>
      </w:tblGrid>
      <w:tr w:rsidR="00CF3DE1" w:rsidRPr="0036346B" w:rsidTr="00FE3472">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94"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3A072F">
            <w:pPr>
              <w:rPr>
                <w:rFonts w:ascii="Arial Narrow" w:hAnsi="Arial Narrow"/>
                <w:b/>
                <w:i/>
                <w:iCs/>
                <w:sz w:val="20"/>
                <w:szCs w:val="20"/>
              </w:rPr>
            </w:pPr>
          </w:p>
        </w:tc>
        <w:tc>
          <w:tcPr>
            <w:tcW w:w="4694" w:type="pct"/>
            <w:shd w:val="clear" w:color="auto" w:fill="D9D9D9" w:themeFill="background1" w:themeFillShade="D9"/>
          </w:tcPr>
          <w:p w:rsidR="0078704B" w:rsidRPr="0036346B" w:rsidRDefault="00AA3E90" w:rsidP="003A072F">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lastRenderedPageBreak/>
              <w:t>ML-3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3A072F">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3A072F">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3A072F">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3A072F">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1"/>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E35" w:rsidRDefault="007F6E35" w:rsidP="00CC0C16">
      <w:r>
        <w:separator/>
      </w:r>
    </w:p>
  </w:endnote>
  <w:endnote w:type="continuationSeparator" w:id="0">
    <w:p w:rsidR="007F6E35" w:rsidRDefault="007F6E35" w:rsidP="00CC0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T2A1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35" w:rsidRPr="00216099" w:rsidRDefault="007F6E35"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Improvement </w:t>
    </w:r>
    <w:r w:rsidRPr="00557FAC">
      <w:rPr>
        <w:rFonts w:asciiTheme="minorHAnsi" w:hAnsiTheme="minorHAnsi" w:cstheme="minorHAnsi"/>
        <w:sz w:val="16"/>
      </w:rPr>
      <w:t>Plan</w:t>
    </w:r>
    <w:r>
      <w:rPr>
        <w:rFonts w:asciiTheme="minorHAnsi" w:hAnsiTheme="minorHAnsi" w:cstheme="minorHAnsi"/>
        <w:sz w:val="16"/>
      </w:rPr>
      <w:t>/</w:t>
    </w:r>
    <w:r w:rsidRPr="00112399">
      <w:rPr>
        <w:rFonts w:asciiTheme="minorHAnsi" w:hAnsiTheme="minorHAnsi" w:cstheme="minorHAnsi"/>
        <w:sz w:val="16"/>
      </w:rPr>
      <w:t xml:space="preserve"> </w:t>
    </w:r>
    <w:r w:rsidRPr="00557FAC">
      <w:rPr>
        <w:rFonts w:asciiTheme="minorHAnsi" w:hAnsiTheme="minorHAnsi" w:cstheme="minorHAnsi"/>
        <w:sz w:val="16"/>
      </w:rPr>
      <w:t xml:space="preserve">Assessment </w:t>
    </w:r>
    <w:r>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Content>
        <w:r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Pr="004304D6">
          <w:rPr>
            <w:rFonts w:asciiTheme="minorHAnsi" w:hAnsiTheme="minorHAnsi" w:cstheme="minorHAnsi"/>
            <w:sz w:val="18"/>
          </w:rPr>
          <w:fldChar w:fldCharType="separate"/>
        </w:r>
        <w:r w:rsidR="008B7E3E">
          <w:rPr>
            <w:rFonts w:asciiTheme="minorHAnsi" w:hAnsiTheme="minorHAnsi" w:cstheme="minorHAnsi"/>
            <w:noProof/>
            <w:sz w:val="18"/>
          </w:rPr>
          <w:t>1</w:t>
        </w:r>
        <w:r w:rsidRPr="004304D6">
          <w:rPr>
            <w:rFonts w:asciiTheme="minorHAnsi" w:hAnsiTheme="minorHAnsi" w:cstheme="minorHAnsi"/>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E35" w:rsidRDefault="007F6E35" w:rsidP="00CC0C16">
      <w:r>
        <w:separator/>
      </w:r>
    </w:p>
  </w:footnote>
  <w:footnote w:type="continuationSeparator" w:id="0">
    <w:p w:rsidR="007F6E35" w:rsidRDefault="007F6E35" w:rsidP="00CC0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2399"/>
    <w:rsid w:val="00114314"/>
    <w:rsid w:val="00120E26"/>
    <w:rsid w:val="001223F5"/>
    <w:rsid w:val="00122E20"/>
    <w:rsid w:val="001269A6"/>
    <w:rsid w:val="00127D44"/>
    <w:rsid w:val="001306EF"/>
    <w:rsid w:val="0013386D"/>
    <w:rsid w:val="00135AB5"/>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072F"/>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23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1E8"/>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7F6E35"/>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B7E3E"/>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07684"/>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79"/>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1909"/>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87221"/>
    <w:rsid w:val="00D901F3"/>
    <w:rsid w:val="00D93076"/>
    <w:rsid w:val="00D9337C"/>
    <w:rsid w:val="00D9541A"/>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3472"/>
    <w:rsid w:val="00FE7929"/>
    <w:rsid w:val="00FF0373"/>
    <w:rsid w:val="00FF2E6A"/>
    <w:rsid w:val="00FF2EC1"/>
    <w:rsid w:val="00FF4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u.edu/aq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mu.edu/roadmap2015" TargetMode="External"/><Relationship Id="rId4" Type="http://schemas.openxmlformats.org/officeDocument/2006/relationships/settings" Target="settings.xml"/><Relationship Id="rId9" Type="http://schemas.openxmlformats.org/officeDocument/2006/relationships/hyperlink" Target="http://www.nmu.edu/aqip"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656F3-D85B-4EA1-8A12-D63CEE2C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2574</Words>
  <Characters>14675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yourid</cp:lastModifiedBy>
  <cp:revision>2</cp:revision>
  <dcterms:created xsi:type="dcterms:W3CDTF">2012-09-20T20:43:00Z</dcterms:created>
  <dcterms:modified xsi:type="dcterms:W3CDTF">2012-09-20T20:43:00Z</dcterms:modified>
</cp:coreProperties>
</file>