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C66137" w:rsidP="00254735">
            <w:pPr>
              <w:rPr>
                <w:rFonts w:ascii="Arial Narrow" w:hAnsi="Arial Narrow"/>
              </w:rPr>
            </w:pPr>
            <w:r>
              <w:rPr>
                <w:rFonts w:ascii="Arial Narrow" w:hAnsi="Arial Narrow"/>
              </w:rPr>
              <w:t>Career Services</w:t>
            </w:r>
          </w:p>
        </w:tc>
      </w:tr>
      <w:tr w:rsidR="00B60EE2" w:rsidRPr="00590761" w:rsidTr="008616B4">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E020E3" w:rsidP="00E020E3">
            <w:pPr>
              <w:rPr>
                <w:rFonts w:ascii="Arial Narrow" w:hAnsi="Arial Narrow" w:cs="Arial"/>
              </w:rPr>
            </w:pPr>
            <w:r>
              <w:rPr>
                <w:rFonts w:ascii="Arial Narrow" w:hAnsi="Arial Narrow" w:cs="Arial"/>
                <w:sz w:val="22"/>
                <w:szCs w:val="22"/>
              </w:rPr>
              <w:sym w:font="Wingdings" w:char="F06F"/>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Pr="00E020E3">
              <w:rPr>
                <w:rFonts w:ascii="Arial Narrow" w:hAnsi="Arial Narrow" w:cs="Arial"/>
                <w:b/>
                <w:color w:val="FF0000"/>
                <w:sz w:val="22"/>
                <w:szCs w:val="22"/>
                <w:u w:val="single"/>
              </w:rPr>
              <w:sym w:font="Wingdings" w:char="F0FE"/>
            </w:r>
            <w:r w:rsidR="00B60EE2" w:rsidRPr="00E020E3">
              <w:rPr>
                <w:rFonts w:ascii="Arial Narrow" w:hAnsi="Arial Narrow" w:cs="Arial"/>
                <w:b/>
                <w:color w:val="FF0000"/>
                <w:sz w:val="22"/>
                <w:szCs w:val="22"/>
              </w:rPr>
              <w:t xml:space="preserve"> </w:t>
            </w:r>
            <w:r w:rsidR="00A24592" w:rsidRPr="00E020E3">
              <w:rPr>
                <w:rFonts w:ascii="Arial Narrow" w:hAnsi="Arial Narrow" w:cs="Arial"/>
                <w:b/>
                <w:color w:val="FF0000"/>
                <w:sz w:val="22"/>
                <w:szCs w:val="22"/>
              </w:rPr>
              <w:t xml:space="preserve"> </w:t>
            </w:r>
            <w:r w:rsidR="00B60EE2" w:rsidRPr="00E020E3">
              <w:rPr>
                <w:rFonts w:ascii="Arial Narrow" w:hAnsi="Arial Narrow" w:cs="Arial"/>
                <w:b/>
                <w:color w:val="FF0000"/>
                <w:sz w:val="22"/>
                <w:szCs w:val="22"/>
              </w:rPr>
              <w:t>REPORT</w:t>
            </w:r>
            <w:r w:rsidR="00B60EE2" w:rsidRPr="00E020E3">
              <w:rPr>
                <w:rFonts w:ascii="Arial Narrow" w:hAnsi="Arial Narrow" w:cs="Arial"/>
                <w:color w:val="FF0000"/>
                <w:sz w:val="22"/>
                <w:szCs w:val="22"/>
              </w:rPr>
              <w:t xml:space="preserve"> </w:t>
            </w:r>
            <w:r w:rsidR="00B60EE2" w:rsidRPr="00590761">
              <w:rPr>
                <w:rFonts w:ascii="Arial Narrow" w:hAnsi="Arial Narrow" w:cs="Arial"/>
                <w:sz w:val="22"/>
                <w:szCs w:val="22"/>
              </w:rPr>
              <w:t>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nil"/>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nil"/>
              <w:bottom w:val="nil"/>
              <w:right w:val="single" w:sz="4" w:space="0" w:color="auto"/>
            </w:tcBorders>
            <w:shd w:val="clear" w:color="auto" w:fill="F2F2F2" w:themeFill="background1" w:themeFillShade="F2"/>
            <w:vAlign w:val="center"/>
          </w:tcPr>
          <w:p w:rsidR="00B60EE2" w:rsidRPr="008616B4" w:rsidRDefault="008616B4" w:rsidP="00254735">
            <w:pPr>
              <w:rPr>
                <w:rFonts w:ascii="Arial Narrow" w:hAnsi="Arial Narrow" w:cs="Arial"/>
                <w:b/>
              </w:rPr>
            </w:pPr>
            <w:r w:rsidRPr="008616B4">
              <w:rPr>
                <w:rFonts w:ascii="Arial Narrow" w:hAnsi="Arial Narrow" w:cs="Arial"/>
                <w:b/>
              </w:rPr>
              <w:t>June 27, 2012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C66137" w:rsidP="00254735">
            <w:pPr>
              <w:rPr>
                <w:rFonts w:ascii="Arial Narrow" w:hAnsi="Arial Narrow"/>
              </w:rPr>
            </w:pPr>
            <w:r>
              <w:rPr>
                <w:rFonts w:ascii="Arial Narrow" w:hAnsi="Arial Narrow"/>
              </w:rPr>
              <w:t>Jim Gadzinski</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C66137">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w:t>
            </w:r>
            <w:r w:rsidR="00C66137" w:rsidRPr="00C66137">
              <w:rPr>
                <w:rFonts w:ascii="Arial Narrow" w:hAnsi="Arial Narrow" w:cs="Arial"/>
                <w:b/>
                <w:sz w:val="22"/>
                <w:szCs w:val="22"/>
                <w:u w:val="single"/>
              </w:rPr>
              <w:t>X</w:t>
            </w:r>
            <w:r w:rsidR="007D2C63">
              <w:rPr>
                <w:rFonts w:ascii="Arial Narrow" w:hAnsi="Arial Narrow" w:cs="Arial"/>
                <w:b/>
                <w:sz w:val="22"/>
                <w:szCs w:val="22"/>
              </w:rPr>
              <w:t xml:space="preserve">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C66137" w:rsidP="00E47E9A">
            <w:pPr>
              <w:rPr>
                <w:rFonts w:ascii="Arial Narrow" w:hAnsi="Arial Narrow" w:cs="Arial"/>
                <w:szCs w:val="20"/>
              </w:rPr>
            </w:pPr>
            <w:r w:rsidRPr="00977909">
              <w:rPr>
                <w:rFonts w:ascii="Arial Narrow" w:hAnsi="Arial Narrow" w:cs="Arial"/>
                <w:sz w:val="20"/>
                <w:szCs w:val="20"/>
              </w:rPr>
              <w:t>The mission of Career Services is to assist current students and alumni with career exploration and job placement concerns by providing resources and services which are focused on student employment, internships and full-time careers.</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C66137" w:rsidP="000A1CAE">
            <w:pPr>
              <w:ind w:left="274" w:hanging="274"/>
              <w:rPr>
                <w:rFonts w:ascii="Arial Narrow" w:hAnsi="Arial Narrow"/>
                <w:sz w:val="20"/>
                <w:szCs w:val="20"/>
              </w:rPr>
            </w:pPr>
            <w:r>
              <w:rPr>
                <w:rFonts w:ascii="Arial Narrow" w:hAnsi="Arial Narrow" w:cs="Arial"/>
                <w:b/>
                <w:sz w:val="20"/>
                <w:szCs w:val="20"/>
                <w:u w:val="single"/>
              </w:rPr>
              <w:sym w:font="Wingdings" w:char="F07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003135F6"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C66137" w:rsidP="000A1CAE">
            <w:pPr>
              <w:ind w:left="274" w:hanging="274"/>
              <w:rPr>
                <w:rFonts w:ascii="Arial Narrow" w:hAnsi="Arial Narrow"/>
                <w:sz w:val="20"/>
                <w:szCs w:val="20"/>
              </w:rPr>
            </w:pPr>
            <w:r>
              <w:rPr>
                <w:rFonts w:ascii="Arial Narrow" w:hAnsi="Arial Narrow" w:cs="Arial"/>
                <w:b/>
                <w:sz w:val="20"/>
                <w:szCs w:val="20"/>
                <w:u w:val="single"/>
              </w:rPr>
              <w:sym w:font="Wingdings" w:char="F07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C66137" w:rsidP="000A1CAE">
            <w:pPr>
              <w:ind w:left="274" w:hanging="274"/>
              <w:rPr>
                <w:rFonts w:ascii="Arial Narrow" w:hAnsi="Arial Narrow"/>
                <w:sz w:val="20"/>
                <w:szCs w:val="20"/>
              </w:rPr>
            </w:pPr>
            <w:r>
              <w:rPr>
                <w:rFonts w:ascii="Arial Narrow" w:hAnsi="Arial Narrow" w:cs="Arial"/>
                <w:b/>
                <w:sz w:val="20"/>
                <w:szCs w:val="20"/>
                <w:u w:val="single"/>
              </w:rPr>
              <w:sym w:font="Wingdings" w:char="F07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254735" w:rsidRPr="001141F5" w:rsidRDefault="00C66137" w:rsidP="00972106">
            <w:pPr>
              <w:spacing w:after="240"/>
              <w:rPr>
                <w:rFonts w:ascii="Arial Narrow" w:hAnsi="Arial Narrow" w:cs="Arial"/>
                <w:sz w:val="22"/>
                <w:szCs w:val="22"/>
              </w:rPr>
            </w:pPr>
            <w:r w:rsidRPr="001141F5">
              <w:rPr>
                <w:rFonts w:ascii="Arial Narrow" w:hAnsi="Arial Narrow" w:cs="Arial"/>
                <w:sz w:val="22"/>
                <w:szCs w:val="22"/>
              </w:rPr>
              <w:t>Increase the number of student contacts (students seeking our services).</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C66137" w:rsidRPr="001141F5" w:rsidRDefault="00C66137" w:rsidP="00C66137">
            <w:pPr>
              <w:pStyle w:val="ListParagraph"/>
              <w:numPr>
                <w:ilvl w:val="0"/>
                <w:numId w:val="2"/>
              </w:numPr>
              <w:ind w:left="294" w:hanging="270"/>
              <w:rPr>
                <w:rFonts w:ascii="Arial Narrow" w:hAnsi="Arial Narrow" w:cs="Arial"/>
                <w:sz w:val="22"/>
                <w:szCs w:val="22"/>
              </w:rPr>
            </w:pPr>
            <w:r w:rsidRPr="001141F5">
              <w:rPr>
                <w:rFonts w:ascii="Arial Narrow" w:hAnsi="Arial Narrow" w:cs="Arial"/>
                <w:sz w:val="22"/>
                <w:szCs w:val="22"/>
              </w:rPr>
              <w:t xml:space="preserve">Contacts are recorded each time a student attends a workshop, visits our office, or seeks our assistance on-line.  The </w:t>
            </w:r>
            <w:proofErr w:type="gramStart"/>
            <w:r w:rsidRPr="001141F5">
              <w:rPr>
                <w:rFonts w:ascii="Arial Narrow" w:hAnsi="Arial Narrow" w:cs="Arial"/>
                <w:sz w:val="22"/>
                <w:szCs w:val="22"/>
              </w:rPr>
              <w:t>number of contacts have</w:t>
            </w:r>
            <w:proofErr w:type="gramEnd"/>
            <w:r w:rsidRPr="001141F5">
              <w:rPr>
                <w:rFonts w:ascii="Arial Narrow" w:hAnsi="Arial Narrow" w:cs="Arial"/>
                <w:sz w:val="22"/>
                <w:szCs w:val="22"/>
              </w:rPr>
              <w:t xml:space="preserve"> been “tracked” for the last two years.</w:t>
            </w:r>
          </w:p>
          <w:p w:rsidR="00C66137" w:rsidRPr="001141F5" w:rsidRDefault="00C66137" w:rsidP="00C66137">
            <w:pPr>
              <w:pStyle w:val="ListParagraph"/>
              <w:numPr>
                <w:ilvl w:val="0"/>
                <w:numId w:val="2"/>
              </w:numPr>
              <w:ind w:left="294" w:hanging="270"/>
              <w:rPr>
                <w:rFonts w:ascii="Arial Narrow" w:hAnsi="Arial Narrow" w:cs="Arial"/>
                <w:sz w:val="22"/>
                <w:szCs w:val="22"/>
              </w:rPr>
            </w:pPr>
            <w:r w:rsidRPr="001141F5">
              <w:rPr>
                <w:rFonts w:ascii="Arial Narrow" w:hAnsi="Arial Narrow" w:cs="Arial"/>
                <w:sz w:val="22"/>
                <w:szCs w:val="22"/>
              </w:rPr>
              <w:t xml:space="preserve">CS </w:t>
            </w:r>
            <w:proofErr w:type="gramStart"/>
            <w:r w:rsidRPr="001141F5">
              <w:rPr>
                <w:rFonts w:ascii="Arial Narrow" w:hAnsi="Arial Narrow" w:cs="Arial"/>
                <w:sz w:val="22"/>
                <w:szCs w:val="22"/>
              </w:rPr>
              <w:t>staff have</w:t>
            </w:r>
            <w:proofErr w:type="gramEnd"/>
            <w:r w:rsidRPr="001141F5">
              <w:rPr>
                <w:rFonts w:ascii="Arial Narrow" w:hAnsi="Arial Narrow" w:cs="Arial"/>
                <w:sz w:val="22"/>
                <w:szCs w:val="22"/>
              </w:rPr>
              <w:t xml:space="preserve"> developed additional ways to advertise our services.</w:t>
            </w:r>
          </w:p>
          <w:p w:rsidR="00254735" w:rsidRPr="001141F5" w:rsidRDefault="00C66137" w:rsidP="00F63D3F">
            <w:pPr>
              <w:pStyle w:val="ListParagraph"/>
              <w:numPr>
                <w:ilvl w:val="0"/>
                <w:numId w:val="2"/>
              </w:numPr>
              <w:ind w:left="294" w:hanging="270"/>
              <w:rPr>
                <w:rFonts w:ascii="Arial Narrow" w:hAnsi="Arial Narrow"/>
                <w:sz w:val="22"/>
                <w:szCs w:val="22"/>
              </w:rPr>
            </w:pPr>
            <w:r w:rsidRPr="001141F5">
              <w:rPr>
                <w:rFonts w:ascii="Arial Narrow" w:hAnsi="Arial Narrow" w:cs="Arial"/>
                <w:sz w:val="22"/>
                <w:szCs w:val="22"/>
              </w:rPr>
              <w:t>CS staff expect to see at least a 5% increase over last year’s contact total.</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F63D3F" w:rsidRDefault="008616B4" w:rsidP="008616B4">
            <w:pPr>
              <w:rPr>
                <w:rFonts w:ascii="Arial Narrow" w:hAnsi="Arial Narrow"/>
                <w:sz w:val="22"/>
                <w:szCs w:val="22"/>
              </w:rPr>
            </w:pPr>
            <w:r>
              <w:rPr>
                <w:rFonts w:ascii="Arial Narrow" w:hAnsi="Arial Narrow"/>
                <w:sz w:val="22"/>
                <w:szCs w:val="22"/>
              </w:rPr>
              <w:t xml:space="preserve">1a. The contacts recorded for 2010-11 total </w:t>
            </w:r>
            <w:r w:rsidR="00D065DF">
              <w:rPr>
                <w:rFonts w:ascii="Arial Narrow" w:hAnsi="Arial Narrow"/>
                <w:sz w:val="22"/>
                <w:szCs w:val="22"/>
              </w:rPr>
              <w:t>4,749</w:t>
            </w:r>
            <w:r>
              <w:rPr>
                <w:rFonts w:ascii="Arial Narrow" w:hAnsi="Arial Narrow"/>
                <w:sz w:val="22"/>
                <w:szCs w:val="22"/>
              </w:rPr>
              <w:t xml:space="preserve">.  The contacts for the 2011-12 year total </w:t>
            </w:r>
            <w:r w:rsidR="00D065DF">
              <w:rPr>
                <w:rFonts w:ascii="Arial Narrow" w:hAnsi="Arial Narrow"/>
                <w:sz w:val="22"/>
                <w:szCs w:val="22"/>
              </w:rPr>
              <w:t>5,011</w:t>
            </w:r>
            <w:r>
              <w:rPr>
                <w:rFonts w:ascii="Arial Narrow" w:hAnsi="Arial Narrow"/>
                <w:sz w:val="22"/>
                <w:szCs w:val="22"/>
              </w:rPr>
              <w:t xml:space="preserve">.  </w:t>
            </w:r>
            <w:r w:rsidR="00F63D3F">
              <w:rPr>
                <w:rFonts w:ascii="Arial Narrow" w:hAnsi="Arial Narrow"/>
                <w:sz w:val="22"/>
                <w:szCs w:val="22"/>
              </w:rPr>
              <w:t>(</w:t>
            </w:r>
            <w:r w:rsidRPr="00F63D3F">
              <w:rPr>
                <w:rFonts w:ascii="Arial Narrow" w:hAnsi="Arial Narrow"/>
                <w:sz w:val="22"/>
                <w:szCs w:val="22"/>
              </w:rPr>
              <w:t>It should be noted; however, that the end of the reporting period is Ju</w:t>
            </w:r>
            <w:r w:rsidR="00F63D3F" w:rsidRPr="00F63D3F">
              <w:rPr>
                <w:rFonts w:ascii="Arial Narrow" w:hAnsi="Arial Narrow"/>
                <w:sz w:val="22"/>
                <w:szCs w:val="22"/>
              </w:rPr>
              <w:t>ne 30</w:t>
            </w:r>
            <w:r w:rsidRPr="00F63D3F">
              <w:rPr>
                <w:rFonts w:ascii="Arial Narrow" w:hAnsi="Arial Narrow"/>
                <w:sz w:val="22"/>
                <w:szCs w:val="22"/>
              </w:rPr>
              <w:t xml:space="preserve">, 2012.  </w:t>
            </w:r>
            <w:r w:rsidR="00F63D3F" w:rsidRPr="00F63D3F">
              <w:rPr>
                <w:rFonts w:ascii="Arial Narrow" w:hAnsi="Arial Narrow"/>
                <w:sz w:val="22"/>
                <w:szCs w:val="22"/>
              </w:rPr>
              <w:t>More contacts may</w:t>
            </w:r>
            <w:r w:rsidRPr="00F63D3F">
              <w:rPr>
                <w:rFonts w:ascii="Arial Narrow" w:hAnsi="Arial Narrow"/>
                <w:sz w:val="22"/>
                <w:szCs w:val="22"/>
              </w:rPr>
              <w:t xml:space="preserve"> be add</w:t>
            </w:r>
            <w:r w:rsidR="00F63D3F" w:rsidRPr="00F63D3F">
              <w:rPr>
                <w:rFonts w:ascii="Arial Narrow" w:hAnsi="Arial Narrow"/>
                <w:sz w:val="22"/>
                <w:szCs w:val="22"/>
              </w:rPr>
              <w:t xml:space="preserve">ed to the 2011-12 </w:t>
            </w:r>
            <w:proofErr w:type="gramStart"/>
            <w:r w:rsidR="00F63D3F" w:rsidRPr="00F63D3F">
              <w:rPr>
                <w:rFonts w:ascii="Arial Narrow" w:hAnsi="Arial Narrow"/>
                <w:sz w:val="22"/>
                <w:szCs w:val="22"/>
              </w:rPr>
              <w:t>total</w:t>
            </w:r>
            <w:proofErr w:type="gramEnd"/>
            <w:r w:rsidR="00F63D3F" w:rsidRPr="00F63D3F">
              <w:rPr>
                <w:rFonts w:ascii="Arial Narrow" w:hAnsi="Arial Narrow"/>
                <w:sz w:val="22"/>
                <w:szCs w:val="22"/>
              </w:rPr>
              <w:t>, but the increase would be minimal.</w:t>
            </w:r>
            <w:r w:rsidR="00F63D3F">
              <w:rPr>
                <w:rFonts w:ascii="Arial Narrow" w:hAnsi="Arial Narrow"/>
                <w:sz w:val="22"/>
                <w:szCs w:val="22"/>
              </w:rPr>
              <w:t>)</w:t>
            </w:r>
          </w:p>
          <w:p w:rsidR="008616B4" w:rsidRPr="000111BA" w:rsidRDefault="008616B4" w:rsidP="00F63D3F">
            <w:pPr>
              <w:rPr>
                <w:rFonts w:ascii="Arial Narrow" w:hAnsi="Arial Narrow"/>
                <w:sz w:val="22"/>
                <w:szCs w:val="22"/>
              </w:rPr>
            </w:pPr>
            <w:r>
              <w:rPr>
                <w:rFonts w:ascii="Arial Narrow" w:hAnsi="Arial Narrow"/>
                <w:sz w:val="22"/>
                <w:szCs w:val="22"/>
              </w:rPr>
              <w:lastRenderedPageBreak/>
              <w:t xml:space="preserve">1b. </w:t>
            </w:r>
            <w:r w:rsidR="00F63D3F">
              <w:rPr>
                <w:rFonts w:ascii="Arial Narrow" w:hAnsi="Arial Narrow"/>
                <w:sz w:val="22"/>
                <w:szCs w:val="22"/>
              </w:rPr>
              <w:t xml:space="preserve">CS staff developed a “themed” poster campaign, advertised in printed and </w:t>
            </w:r>
            <w:r w:rsidR="00F63D3F" w:rsidRPr="000111BA">
              <w:rPr>
                <w:rFonts w:ascii="Arial Narrow" w:hAnsi="Arial Narrow"/>
                <w:sz w:val="22"/>
                <w:szCs w:val="22"/>
              </w:rPr>
              <w:t>electronic media, etc.</w:t>
            </w:r>
          </w:p>
          <w:p w:rsidR="00F63D3F" w:rsidRPr="008616B4" w:rsidRDefault="00F63D3F" w:rsidP="00F54317">
            <w:pPr>
              <w:rPr>
                <w:rFonts w:ascii="Arial Narrow" w:hAnsi="Arial Narrow"/>
              </w:rPr>
            </w:pPr>
            <w:r w:rsidRPr="000111BA">
              <w:rPr>
                <w:rFonts w:ascii="Arial Narrow" w:hAnsi="Arial Narrow"/>
                <w:sz w:val="22"/>
                <w:szCs w:val="22"/>
              </w:rPr>
              <w:t xml:space="preserve">1c. The difference from 2010-11 to 2011-12 accounted for a </w:t>
            </w:r>
            <w:r w:rsidR="00D065DF">
              <w:rPr>
                <w:rFonts w:ascii="Arial Narrow" w:hAnsi="Arial Narrow"/>
                <w:sz w:val="22"/>
                <w:szCs w:val="22"/>
              </w:rPr>
              <w:t xml:space="preserve">positive </w:t>
            </w:r>
            <w:r w:rsidRPr="000111BA">
              <w:rPr>
                <w:rFonts w:ascii="Arial Narrow" w:hAnsi="Arial Narrow"/>
                <w:sz w:val="22"/>
                <w:szCs w:val="22"/>
              </w:rPr>
              <w:t xml:space="preserve">change of </w:t>
            </w:r>
            <w:r w:rsidR="00D065DF">
              <w:rPr>
                <w:rFonts w:ascii="Arial Narrow" w:hAnsi="Arial Narrow"/>
                <w:sz w:val="22"/>
                <w:szCs w:val="22"/>
              </w:rPr>
              <w:t>262</w:t>
            </w:r>
            <w:r w:rsidRPr="000111BA">
              <w:rPr>
                <w:rFonts w:ascii="Arial Narrow" w:hAnsi="Arial Narrow"/>
                <w:sz w:val="22"/>
                <w:szCs w:val="22"/>
              </w:rPr>
              <w:t xml:space="preserve"> contacts, or a</w:t>
            </w:r>
            <w:r w:rsidR="00F54317">
              <w:rPr>
                <w:rFonts w:ascii="Arial Narrow" w:hAnsi="Arial Narrow"/>
                <w:sz w:val="22"/>
                <w:szCs w:val="22"/>
              </w:rPr>
              <w:t>pproximately a</w:t>
            </w:r>
            <w:r w:rsidRPr="000111BA">
              <w:rPr>
                <w:rFonts w:ascii="Arial Narrow" w:hAnsi="Arial Narrow"/>
                <w:sz w:val="22"/>
                <w:szCs w:val="22"/>
              </w:rPr>
              <w:t xml:space="preserve"> </w:t>
            </w:r>
            <w:r w:rsidR="00F54317">
              <w:rPr>
                <w:rFonts w:ascii="Arial Narrow" w:hAnsi="Arial Narrow"/>
                <w:sz w:val="22"/>
                <w:szCs w:val="22"/>
              </w:rPr>
              <w:t>5.52</w:t>
            </w:r>
            <w:r w:rsidRPr="000111BA">
              <w:rPr>
                <w:rFonts w:ascii="Arial Narrow" w:hAnsi="Arial Narrow"/>
                <w:sz w:val="22"/>
                <w:szCs w:val="22"/>
              </w:rPr>
              <w:t>% increase.</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F54317" w:rsidP="00F54317">
            <w:pPr>
              <w:rPr>
                <w:rFonts w:ascii="Arial Narrow" w:hAnsi="Arial Narrow"/>
              </w:rPr>
            </w:pPr>
            <w:r>
              <w:rPr>
                <w:rFonts w:ascii="Arial Narrow" w:hAnsi="Arial Narrow"/>
                <w:sz w:val="22"/>
                <w:szCs w:val="22"/>
              </w:rPr>
              <w:t xml:space="preserve">It is assumed that, since the CS staff revamped </w:t>
            </w:r>
            <w:proofErr w:type="spellStart"/>
            <w:proofErr w:type="gramStart"/>
            <w:r>
              <w:rPr>
                <w:rFonts w:ascii="Arial Narrow" w:hAnsi="Arial Narrow"/>
                <w:sz w:val="22"/>
                <w:szCs w:val="22"/>
              </w:rPr>
              <w:t>it’s</w:t>
            </w:r>
            <w:proofErr w:type="spellEnd"/>
            <w:proofErr w:type="gramEnd"/>
            <w:r>
              <w:rPr>
                <w:rFonts w:ascii="Arial Narrow" w:hAnsi="Arial Narrow"/>
                <w:sz w:val="22"/>
                <w:szCs w:val="22"/>
              </w:rPr>
              <w:t xml:space="preserve"> advertising plan, and an increase was evident, that the effort worked.  The CS staff will then continue to look for more/better ways to </w:t>
            </w:r>
            <w:bookmarkStart w:id="0" w:name="_GoBack"/>
            <w:bookmarkEnd w:id="0"/>
            <w:r>
              <w:rPr>
                <w:rFonts w:ascii="Arial Narrow" w:hAnsi="Arial Narrow"/>
                <w:sz w:val="22"/>
                <w:szCs w:val="22"/>
              </w:rPr>
              <w:t>increase student awareness and usage of the services offered.  It is expected that as awareness rises, so will student contacts.</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824F9B" w:rsidRPr="001141F5" w:rsidRDefault="007C53D1" w:rsidP="001141F5">
            <w:pPr>
              <w:rPr>
                <w:rFonts w:ascii="Arial Narrow" w:hAnsi="Arial Narrow"/>
                <w:sz w:val="22"/>
                <w:szCs w:val="22"/>
              </w:rPr>
            </w:pPr>
            <w:r w:rsidRPr="001141F5">
              <w:rPr>
                <w:rFonts w:ascii="Arial Narrow" w:hAnsi="Arial Narrow"/>
                <w:i/>
                <w:sz w:val="22"/>
                <w:szCs w:val="22"/>
              </w:rPr>
              <w:lastRenderedPageBreak/>
              <w:t>Objective</w:t>
            </w:r>
            <w:r w:rsidR="00FF7B74" w:rsidRPr="001141F5">
              <w:rPr>
                <w:rFonts w:ascii="Arial Narrow" w:hAnsi="Arial Narrow"/>
                <w:sz w:val="22"/>
                <w:szCs w:val="22"/>
              </w:rPr>
              <w:t>:  Undergo a complete “Program Review” for the whole of Career Services on CAS* Standards.</w:t>
            </w:r>
          </w:p>
          <w:p w:rsidR="00FF7B74" w:rsidRPr="001141F5" w:rsidRDefault="00FF7B74" w:rsidP="00FF7B74">
            <w:pPr>
              <w:rPr>
                <w:rFonts w:ascii="Arial Narrow" w:hAnsi="Arial Narrow"/>
                <w:sz w:val="22"/>
                <w:szCs w:val="22"/>
              </w:rPr>
            </w:pPr>
          </w:p>
          <w:p w:rsidR="00FF7B74" w:rsidRPr="001141F5" w:rsidRDefault="00FF7B74" w:rsidP="00FF7B74">
            <w:pPr>
              <w:rPr>
                <w:rFonts w:ascii="Arial Narrow" w:hAnsi="Arial Narrow"/>
                <w:sz w:val="22"/>
                <w:szCs w:val="22"/>
              </w:rPr>
            </w:pPr>
            <w:r w:rsidRPr="001141F5">
              <w:rPr>
                <w:rFonts w:ascii="Arial Narrow" w:hAnsi="Arial Narrow"/>
                <w:sz w:val="22"/>
                <w:szCs w:val="22"/>
              </w:rPr>
              <w:t>*Council on the Advancement of Standards in Higher Education</w:t>
            </w:r>
          </w:p>
          <w:p w:rsidR="00FF7B74" w:rsidRPr="001141F5" w:rsidRDefault="00FF7B74" w:rsidP="00FF7B74">
            <w:pPr>
              <w:rPr>
                <w:rFonts w:ascii="Arial Narrow" w:hAnsi="Arial Narrow"/>
                <w:sz w:val="22"/>
                <w:szCs w:val="22"/>
              </w:rPr>
            </w:pPr>
          </w:p>
          <w:p w:rsidR="007C53D1" w:rsidRPr="001141F5" w:rsidRDefault="007C53D1" w:rsidP="0036346B">
            <w:pPr>
              <w:rPr>
                <w:rFonts w:ascii="Arial Narrow" w:hAnsi="Arial Narrow"/>
                <w:sz w:val="22"/>
                <w:szCs w:val="22"/>
              </w:rPr>
            </w:pPr>
            <w:r w:rsidRPr="001141F5">
              <w:rPr>
                <w:rFonts w:ascii="Arial Narrow" w:hAnsi="Arial Narrow"/>
                <w:i/>
                <w:sz w:val="22"/>
                <w:szCs w:val="22"/>
              </w:rPr>
              <w:t>Rationale</w:t>
            </w:r>
            <w:r w:rsidR="0078704B" w:rsidRPr="001141F5">
              <w:rPr>
                <w:rFonts w:ascii="Arial Narrow" w:hAnsi="Arial Narrow"/>
                <w:i/>
                <w:sz w:val="22"/>
                <w:szCs w:val="22"/>
              </w:rPr>
              <w:t xml:space="preserve"> </w:t>
            </w:r>
            <w:r w:rsidRPr="001141F5">
              <w:rPr>
                <w:rFonts w:ascii="Arial Narrow" w:hAnsi="Arial Narrow"/>
                <w:i/>
                <w:sz w:val="22"/>
                <w:szCs w:val="22"/>
              </w:rPr>
              <w:t>(</w:t>
            </w:r>
            <w:r w:rsidR="0078704B" w:rsidRPr="001141F5">
              <w:rPr>
                <w:rFonts w:ascii="Arial Narrow" w:hAnsi="Arial Narrow"/>
                <w:i/>
                <w:sz w:val="22"/>
                <w:szCs w:val="22"/>
              </w:rPr>
              <w:t>W</w:t>
            </w:r>
            <w:r w:rsidRPr="001141F5">
              <w:rPr>
                <w:rFonts w:ascii="Arial Narrow" w:hAnsi="Arial Narrow"/>
                <w:i/>
                <w:sz w:val="22"/>
                <w:szCs w:val="22"/>
              </w:rPr>
              <w:t>hy you are setting this objective</w:t>
            </w:r>
            <w:r w:rsidR="0078704B" w:rsidRPr="001141F5">
              <w:rPr>
                <w:rFonts w:ascii="Arial Narrow" w:hAnsi="Arial Narrow"/>
                <w:i/>
                <w:sz w:val="22"/>
                <w:szCs w:val="22"/>
              </w:rPr>
              <w:t xml:space="preserve">; </w:t>
            </w:r>
            <w:r w:rsidR="00122E20" w:rsidRPr="001141F5">
              <w:rPr>
                <w:rFonts w:ascii="Arial Narrow" w:hAnsi="Arial Narrow"/>
                <w:i/>
                <w:sz w:val="22"/>
                <w:szCs w:val="22"/>
              </w:rPr>
              <w:t>mark with “X”</w:t>
            </w:r>
            <w:r w:rsidRPr="001141F5">
              <w:rPr>
                <w:rFonts w:ascii="Arial Narrow" w:hAnsi="Arial Narrow"/>
                <w:i/>
                <w:sz w:val="22"/>
                <w:szCs w:val="22"/>
              </w:rPr>
              <w:t>)</w:t>
            </w:r>
            <w:r w:rsidRPr="001141F5">
              <w:rPr>
                <w:rFonts w:ascii="Arial Narrow" w:hAnsi="Arial Narrow"/>
                <w:sz w:val="22"/>
                <w:szCs w:val="22"/>
              </w:rPr>
              <w:t>:</w:t>
            </w:r>
          </w:p>
          <w:p w:rsidR="007C53D1" w:rsidRPr="001141F5" w:rsidRDefault="00FF7B74" w:rsidP="0036346B">
            <w:pPr>
              <w:rPr>
                <w:rFonts w:ascii="Arial Narrow" w:hAnsi="Arial Narrow"/>
                <w:sz w:val="22"/>
                <w:szCs w:val="22"/>
              </w:rPr>
            </w:pPr>
            <w:r w:rsidRPr="001141F5">
              <w:rPr>
                <w:rFonts w:ascii="Arial Narrow" w:hAnsi="Arial Narrow"/>
                <w:sz w:val="22"/>
                <w:szCs w:val="22"/>
                <w:u w:val="single"/>
              </w:rPr>
              <w:sym w:font="Wingdings" w:char="F078"/>
            </w:r>
            <w:r w:rsidR="007C53D1" w:rsidRPr="001141F5">
              <w:rPr>
                <w:rFonts w:ascii="Arial Narrow" w:hAnsi="Arial Narrow"/>
                <w:sz w:val="22"/>
                <w:szCs w:val="22"/>
              </w:rPr>
              <w:t xml:space="preserve"> Effectiveness/quality action </w:t>
            </w:r>
            <w:r w:rsidR="007C53D1" w:rsidRPr="001141F5">
              <w:rPr>
                <w:rFonts w:ascii="Arial Narrow" w:hAnsi="Arial Narrow"/>
                <w:sz w:val="22"/>
                <w:szCs w:val="22"/>
                <w:u w:val="single"/>
              </w:rPr>
              <w:sym w:font="Symbol" w:char="F092"/>
            </w:r>
            <w:r w:rsidR="007C53D1" w:rsidRPr="001141F5">
              <w:rPr>
                <w:rFonts w:ascii="Arial Narrow" w:hAnsi="Arial Narrow"/>
                <w:sz w:val="22"/>
                <w:szCs w:val="22"/>
              </w:rPr>
              <w:t xml:space="preserve"> Efficiency/cost action   </w:t>
            </w:r>
          </w:p>
          <w:p w:rsidR="007C53D1" w:rsidRPr="001141F5" w:rsidRDefault="007C53D1" w:rsidP="0036346B">
            <w:pPr>
              <w:rPr>
                <w:rFonts w:ascii="Arial Narrow" w:hAnsi="Arial Narrow"/>
                <w:sz w:val="22"/>
                <w:szCs w:val="22"/>
              </w:rPr>
            </w:pPr>
            <w:r w:rsidRPr="001141F5">
              <w:rPr>
                <w:rFonts w:ascii="Arial Narrow" w:hAnsi="Arial Narrow"/>
                <w:sz w:val="22"/>
                <w:szCs w:val="22"/>
                <w:u w:val="single"/>
              </w:rPr>
              <w:sym w:font="Symbol" w:char="F092"/>
            </w:r>
            <w:r w:rsidRPr="001141F5">
              <w:rPr>
                <w:rFonts w:ascii="Arial Narrow" w:hAnsi="Arial Narrow"/>
                <w:sz w:val="22"/>
                <w:szCs w:val="22"/>
                <w:u w:val="single"/>
              </w:rPr>
              <w:t xml:space="preserve"> </w:t>
            </w:r>
            <w:r w:rsidRPr="001141F5">
              <w:rPr>
                <w:rFonts w:ascii="Arial Narrow" w:hAnsi="Arial Narrow"/>
                <w:sz w:val="22"/>
                <w:szCs w:val="22"/>
              </w:rPr>
              <w:t xml:space="preserve">Compliance issue </w:t>
            </w:r>
            <w:r w:rsidRPr="001141F5">
              <w:rPr>
                <w:rFonts w:ascii="Arial Narrow" w:hAnsi="Arial Narrow"/>
                <w:sz w:val="22"/>
                <w:szCs w:val="22"/>
                <w:u w:val="single"/>
              </w:rPr>
              <w:sym w:font="Symbol" w:char="F092"/>
            </w:r>
            <w:r w:rsidRPr="001141F5">
              <w:rPr>
                <w:rFonts w:ascii="Arial Narrow" w:hAnsi="Arial Narrow"/>
                <w:sz w:val="22"/>
                <w:szCs w:val="22"/>
              </w:rPr>
              <w:t xml:space="preserve"> Satisfaction measure  </w:t>
            </w:r>
            <w:r w:rsidRPr="001141F5">
              <w:rPr>
                <w:rFonts w:ascii="Arial Narrow" w:hAnsi="Arial Narrow"/>
                <w:sz w:val="22"/>
                <w:szCs w:val="22"/>
                <w:u w:val="single"/>
              </w:rPr>
              <w:sym w:font="Symbol" w:char="F092"/>
            </w:r>
            <w:r w:rsidRPr="001141F5">
              <w:rPr>
                <w:rFonts w:ascii="Arial Narrow" w:hAnsi="Arial Narrow"/>
                <w:sz w:val="22"/>
                <w:szCs w:val="22"/>
              </w:rPr>
              <w:t xml:space="preserve"> Create baseline  </w:t>
            </w:r>
          </w:p>
          <w:p w:rsidR="007C53D1" w:rsidRPr="001141F5" w:rsidRDefault="007C53D1" w:rsidP="0036346B">
            <w:pPr>
              <w:rPr>
                <w:rFonts w:ascii="Arial Narrow" w:hAnsi="Arial Narrow"/>
                <w:sz w:val="22"/>
                <w:szCs w:val="22"/>
              </w:rPr>
            </w:pPr>
            <w:r w:rsidRPr="001141F5">
              <w:rPr>
                <w:rFonts w:ascii="Arial Narrow" w:hAnsi="Arial Narrow"/>
                <w:sz w:val="22"/>
                <w:szCs w:val="22"/>
                <w:u w:val="single"/>
              </w:rPr>
              <w:sym w:font="Symbol" w:char="F092"/>
            </w:r>
            <w:r w:rsidRPr="001141F5">
              <w:rPr>
                <w:rFonts w:ascii="Arial Narrow" w:hAnsi="Arial Narrow"/>
                <w:sz w:val="22"/>
                <w:szCs w:val="22"/>
              </w:rPr>
              <w:t xml:space="preserve"> Other (explain): </w:t>
            </w:r>
          </w:p>
          <w:p w:rsidR="007C53D1" w:rsidRPr="001141F5" w:rsidRDefault="007C53D1" w:rsidP="0036346B">
            <w:pPr>
              <w:rPr>
                <w:rFonts w:ascii="Arial Narrow" w:hAnsi="Arial Narrow"/>
                <w:sz w:val="22"/>
                <w:szCs w:val="22"/>
              </w:rPr>
            </w:pPr>
          </w:p>
          <w:p w:rsidR="007C53D1" w:rsidRPr="001141F5" w:rsidRDefault="0078704B" w:rsidP="0036346B">
            <w:pPr>
              <w:rPr>
                <w:rFonts w:ascii="Arial Narrow" w:hAnsi="Arial Narrow"/>
                <w:sz w:val="22"/>
                <w:szCs w:val="22"/>
              </w:rPr>
            </w:pPr>
            <w:r w:rsidRPr="001141F5">
              <w:rPr>
                <w:rFonts w:ascii="Arial Narrow" w:hAnsi="Arial Narrow"/>
                <w:i/>
                <w:sz w:val="22"/>
                <w:szCs w:val="22"/>
              </w:rPr>
              <w:t>Does</w:t>
            </w:r>
            <w:r w:rsidR="00055B6F" w:rsidRPr="001141F5">
              <w:rPr>
                <w:rFonts w:ascii="Arial Narrow" w:hAnsi="Arial Narrow"/>
                <w:i/>
                <w:sz w:val="22"/>
                <w:szCs w:val="22"/>
              </w:rPr>
              <w:t xml:space="preserve"> this </w:t>
            </w:r>
            <w:r w:rsidRPr="001141F5">
              <w:rPr>
                <w:rFonts w:ascii="Arial Narrow" w:hAnsi="Arial Narrow"/>
                <w:i/>
                <w:sz w:val="22"/>
                <w:szCs w:val="22"/>
              </w:rPr>
              <w:t>objective relate</w:t>
            </w:r>
            <w:r w:rsidR="00055B6F" w:rsidRPr="001141F5">
              <w:rPr>
                <w:rFonts w:ascii="Arial Narrow" w:hAnsi="Arial Narrow"/>
                <w:i/>
                <w:sz w:val="22"/>
                <w:szCs w:val="22"/>
              </w:rPr>
              <w:t xml:space="preserve"> to a Road Map goal? </w:t>
            </w:r>
            <w:r w:rsidRPr="001141F5">
              <w:rPr>
                <w:rFonts w:ascii="Arial Narrow" w:hAnsi="Arial Narrow"/>
                <w:i/>
                <w:sz w:val="22"/>
                <w:szCs w:val="22"/>
              </w:rPr>
              <w:t xml:space="preserve">(Refer to last page for the Road Map goals). </w:t>
            </w:r>
            <w:r w:rsidR="00055B6F" w:rsidRPr="001141F5">
              <w:rPr>
                <w:rFonts w:ascii="Arial Narrow" w:hAnsi="Arial Narrow"/>
                <w:i/>
                <w:sz w:val="22"/>
                <w:szCs w:val="22"/>
              </w:rPr>
              <w:t>If yes, type the related Road Map codes here</w:t>
            </w:r>
            <w:r w:rsidR="00055B6F" w:rsidRPr="001141F5">
              <w:rPr>
                <w:rFonts w:ascii="Arial Narrow" w:hAnsi="Arial Narrow"/>
                <w:sz w:val="22"/>
                <w:szCs w:val="22"/>
              </w:rPr>
              <w:t xml:space="preserve">:  </w:t>
            </w:r>
          </w:p>
          <w:p w:rsidR="007C53D1" w:rsidRPr="001141F5" w:rsidRDefault="007C53D1" w:rsidP="0036346B">
            <w:pPr>
              <w:rPr>
                <w:rFonts w:ascii="Arial Narrow" w:hAnsi="Arial Narrow"/>
                <w:sz w:val="22"/>
                <w:szCs w:val="22"/>
              </w:rPr>
            </w:pP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a.</w:t>
            </w:r>
            <w:r w:rsidR="00FF7B74">
              <w:rPr>
                <w:rFonts w:ascii="Arial Narrow" w:hAnsi="Arial Narrow" w:cs="Arial"/>
                <w:sz w:val="22"/>
                <w:szCs w:val="22"/>
              </w:rPr>
              <w:t xml:space="preserve">  </w:t>
            </w:r>
            <w:r w:rsidR="001141F5">
              <w:rPr>
                <w:rFonts w:ascii="Arial Narrow" w:hAnsi="Arial Narrow" w:cs="Arial"/>
                <w:sz w:val="22"/>
                <w:szCs w:val="22"/>
              </w:rPr>
              <w:t>Each</w:t>
            </w:r>
            <w:proofErr w:type="gramEnd"/>
            <w:r w:rsidR="001141F5">
              <w:rPr>
                <w:rFonts w:ascii="Arial Narrow" w:hAnsi="Arial Narrow" w:cs="Arial"/>
                <w:sz w:val="22"/>
                <w:szCs w:val="22"/>
              </w:rPr>
              <w:t xml:space="preserve"> </w:t>
            </w:r>
            <w:r w:rsidR="00FF7B74">
              <w:rPr>
                <w:rFonts w:ascii="Arial Narrow" w:hAnsi="Arial Narrow" w:cs="Arial"/>
                <w:sz w:val="22"/>
                <w:szCs w:val="22"/>
              </w:rPr>
              <w:t xml:space="preserve">CS staff </w:t>
            </w:r>
            <w:r w:rsidR="001141F5">
              <w:rPr>
                <w:rFonts w:ascii="Arial Narrow" w:hAnsi="Arial Narrow" w:cs="Arial"/>
                <w:sz w:val="22"/>
                <w:szCs w:val="22"/>
              </w:rPr>
              <w:t xml:space="preserve">member </w:t>
            </w:r>
            <w:r w:rsidR="00FF7B74">
              <w:rPr>
                <w:rFonts w:ascii="Arial Narrow" w:hAnsi="Arial Narrow" w:cs="Arial"/>
                <w:sz w:val="22"/>
                <w:szCs w:val="22"/>
              </w:rPr>
              <w:t xml:space="preserve">will complete the CAS Standards </w:t>
            </w:r>
            <w:r w:rsidR="001141F5">
              <w:rPr>
                <w:rFonts w:ascii="Arial Narrow" w:hAnsi="Arial Narrow" w:cs="Arial"/>
                <w:sz w:val="22"/>
                <w:szCs w:val="22"/>
              </w:rPr>
              <w:t xml:space="preserve">self-assessment guide </w:t>
            </w:r>
            <w:r w:rsidR="00FF7B74">
              <w:rPr>
                <w:rFonts w:ascii="Arial Narrow" w:hAnsi="Arial Narrow" w:cs="Arial"/>
                <w:sz w:val="22"/>
                <w:szCs w:val="22"/>
              </w:rPr>
              <w:t>individually by the end of August, 2011.</w:t>
            </w:r>
          </w:p>
          <w:p w:rsidR="007C53D1" w:rsidRPr="009860CD" w:rsidRDefault="007C53D1" w:rsidP="0036346B">
            <w:pPr>
              <w:pStyle w:val="Default"/>
              <w:rPr>
                <w:rFonts w:ascii="Arial Narrow" w:hAnsi="Arial Narrow" w:cs="Arial"/>
                <w:sz w:val="22"/>
                <w:szCs w:val="22"/>
              </w:rPr>
            </w:pPr>
            <w:proofErr w:type="gramStart"/>
            <w:r w:rsidRPr="009860CD">
              <w:rPr>
                <w:rFonts w:ascii="Arial Narrow" w:hAnsi="Arial Narrow" w:cs="Arial"/>
                <w:sz w:val="22"/>
                <w:szCs w:val="22"/>
              </w:rPr>
              <w:t>b.</w:t>
            </w:r>
            <w:r w:rsidR="00FF7B74">
              <w:rPr>
                <w:rFonts w:ascii="Arial Narrow" w:hAnsi="Arial Narrow" w:cs="Arial"/>
                <w:sz w:val="22"/>
                <w:szCs w:val="22"/>
              </w:rPr>
              <w:t xml:space="preserve">  In</w:t>
            </w:r>
            <w:proofErr w:type="gramEnd"/>
            <w:r w:rsidR="00FF7B74">
              <w:rPr>
                <w:rFonts w:ascii="Arial Narrow" w:hAnsi="Arial Narrow" w:cs="Arial"/>
                <w:sz w:val="22"/>
                <w:szCs w:val="22"/>
              </w:rPr>
              <w:t xml:space="preserve"> September, CS staff will begin discussion of the </w:t>
            </w:r>
            <w:r w:rsidR="001141F5">
              <w:rPr>
                <w:rFonts w:ascii="Arial Narrow" w:hAnsi="Arial Narrow" w:cs="Arial"/>
                <w:sz w:val="22"/>
                <w:szCs w:val="22"/>
              </w:rPr>
              <w:t>self-assessment guide results.</w:t>
            </w:r>
          </w:p>
          <w:p w:rsidR="007C53D1" w:rsidRDefault="007C53D1" w:rsidP="0036346B">
            <w:pPr>
              <w:pStyle w:val="Default"/>
              <w:rPr>
                <w:rFonts w:ascii="Arial Narrow" w:hAnsi="Arial Narrow" w:cs="Arial"/>
                <w:sz w:val="22"/>
                <w:szCs w:val="22"/>
              </w:rPr>
            </w:pPr>
            <w:r w:rsidRPr="009860CD">
              <w:rPr>
                <w:rFonts w:ascii="Arial Narrow" w:hAnsi="Arial Narrow" w:cs="Arial"/>
                <w:sz w:val="22"/>
                <w:szCs w:val="22"/>
              </w:rPr>
              <w:t xml:space="preserve">c. </w:t>
            </w:r>
            <w:r w:rsidR="001141F5">
              <w:rPr>
                <w:rFonts w:ascii="Arial Narrow" w:hAnsi="Arial Narrow" w:cs="Arial"/>
                <w:sz w:val="22"/>
                <w:szCs w:val="22"/>
              </w:rPr>
              <w:t>A formal, complete assessment based on these standards will be completed by the end of the 2011 Fall Semester.</w:t>
            </w:r>
          </w:p>
          <w:p w:rsidR="001141F5" w:rsidRPr="009860CD" w:rsidRDefault="001141F5"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824F9B" w:rsidRPr="009860CD" w:rsidRDefault="00824F9B" w:rsidP="00824F9B">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C66137">
            <w:pPr>
              <w:spacing w:beforeLines="60" w:before="144"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C66137">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C66137">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8616B4" w:rsidRDefault="00E020E3" w:rsidP="0036346B">
            <w:pPr>
              <w:rPr>
                <w:rFonts w:ascii="Arial Narrow" w:hAnsi="Arial Narrow"/>
                <w:sz w:val="22"/>
                <w:szCs w:val="22"/>
              </w:rPr>
            </w:pPr>
            <w:r w:rsidRPr="008616B4">
              <w:rPr>
                <w:rFonts w:ascii="Arial Narrow" w:hAnsi="Arial Narrow"/>
                <w:sz w:val="22"/>
                <w:szCs w:val="22"/>
              </w:rPr>
              <w:t>2a. Each CS staff member completed their individual assessment guide before the end of August, 2011</w:t>
            </w:r>
          </w:p>
          <w:p w:rsidR="00E020E3" w:rsidRPr="008616B4" w:rsidRDefault="00E020E3" w:rsidP="0036346B">
            <w:pPr>
              <w:rPr>
                <w:rFonts w:ascii="Arial Narrow" w:hAnsi="Arial Narrow"/>
                <w:sz w:val="22"/>
                <w:szCs w:val="22"/>
              </w:rPr>
            </w:pPr>
            <w:r w:rsidRPr="008616B4">
              <w:rPr>
                <w:rFonts w:ascii="Arial Narrow" w:hAnsi="Arial Narrow"/>
                <w:sz w:val="22"/>
                <w:szCs w:val="22"/>
              </w:rPr>
              <w:t>2b. CS staff began discussing the combined assessment guide results in September, 2011.</w:t>
            </w:r>
          </w:p>
          <w:p w:rsidR="00E020E3" w:rsidRPr="008616B4" w:rsidRDefault="00E020E3" w:rsidP="0036346B">
            <w:pPr>
              <w:rPr>
                <w:rFonts w:ascii="Arial Narrow" w:hAnsi="Arial Narrow"/>
              </w:rPr>
            </w:pPr>
            <w:r w:rsidRPr="008616B4">
              <w:rPr>
                <w:rFonts w:ascii="Arial Narrow" w:hAnsi="Arial Narrow"/>
                <w:sz w:val="22"/>
                <w:szCs w:val="22"/>
              </w:rPr>
              <w:t>2c. A formal assessment was completed by December.</w:t>
            </w:r>
          </w:p>
        </w:tc>
        <w:tc>
          <w:tcPr>
            <w:tcW w:w="282" w:type="dxa"/>
            <w:tcBorders>
              <w:top w:val="nil"/>
              <w:left w:val="nil"/>
              <w:bottom w:val="single" w:sz="4" w:space="0" w:color="auto"/>
              <w:right w:val="nil"/>
            </w:tcBorders>
          </w:tcPr>
          <w:p w:rsidR="007C53D1" w:rsidRPr="008616B4"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8616B4" w:rsidRDefault="00E020E3" w:rsidP="008616B4">
            <w:pPr>
              <w:rPr>
                <w:rFonts w:ascii="Arial Narrow" w:hAnsi="Arial Narrow"/>
              </w:rPr>
            </w:pPr>
            <w:r w:rsidRPr="008616B4">
              <w:rPr>
                <w:rFonts w:ascii="Arial Narrow" w:hAnsi="Arial Narrow"/>
                <w:sz w:val="22"/>
                <w:szCs w:val="22"/>
              </w:rPr>
              <w:t>Most of the areas that are in need of improvement are not within the control of the CS department.  Institutional policies and practices that impact career services that are in need of revision have not been deemed as “priorities” and will, most likely, not be adjusted.</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1141F5" w:rsidRPr="001141F5" w:rsidRDefault="007C53D1" w:rsidP="001141F5">
            <w:pPr>
              <w:rPr>
                <w:rFonts w:ascii="Arial Narrow" w:hAnsi="Arial Narrow"/>
                <w:sz w:val="22"/>
                <w:szCs w:val="22"/>
              </w:rPr>
            </w:pPr>
            <w:r w:rsidRPr="001141F5">
              <w:rPr>
                <w:rFonts w:ascii="Arial Narrow" w:hAnsi="Arial Narrow"/>
                <w:i/>
                <w:sz w:val="22"/>
                <w:szCs w:val="22"/>
              </w:rPr>
              <w:t>Objective</w:t>
            </w:r>
            <w:r w:rsidRPr="001141F5">
              <w:rPr>
                <w:rFonts w:ascii="Arial Narrow" w:hAnsi="Arial Narrow"/>
                <w:sz w:val="22"/>
                <w:szCs w:val="22"/>
              </w:rPr>
              <w:t>:</w:t>
            </w:r>
            <w:r w:rsidR="001141F5" w:rsidRPr="001141F5">
              <w:rPr>
                <w:rFonts w:ascii="Arial Narrow" w:hAnsi="Arial Narrow"/>
                <w:sz w:val="22"/>
                <w:szCs w:val="22"/>
              </w:rPr>
              <w:t xml:space="preserve">  Find a method to collect more reliable data for the Graduate Survey.</w:t>
            </w:r>
          </w:p>
          <w:p w:rsidR="007C53D1" w:rsidRPr="001141F5" w:rsidRDefault="007C53D1" w:rsidP="00972106">
            <w:pPr>
              <w:rPr>
                <w:rFonts w:ascii="Arial Narrow" w:hAnsi="Arial Narrow"/>
                <w:sz w:val="22"/>
                <w:szCs w:val="22"/>
              </w:rPr>
            </w:pPr>
          </w:p>
          <w:p w:rsidR="007C53D1" w:rsidRPr="001141F5" w:rsidRDefault="007C53D1" w:rsidP="00972106">
            <w:pPr>
              <w:rPr>
                <w:rFonts w:ascii="Arial Narrow" w:hAnsi="Arial Narrow"/>
                <w:sz w:val="22"/>
                <w:szCs w:val="22"/>
              </w:rPr>
            </w:pPr>
          </w:p>
          <w:p w:rsidR="007C53D1" w:rsidRPr="001141F5" w:rsidRDefault="007C53D1" w:rsidP="00972106">
            <w:pPr>
              <w:rPr>
                <w:rFonts w:ascii="Arial Narrow" w:hAnsi="Arial Narrow"/>
                <w:sz w:val="22"/>
                <w:szCs w:val="22"/>
              </w:rPr>
            </w:pPr>
          </w:p>
          <w:p w:rsidR="007C53D1" w:rsidRPr="001141F5" w:rsidRDefault="0078704B" w:rsidP="00972106">
            <w:pPr>
              <w:rPr>
                <w:rFonts w:ascii="Arial Narrow" w:hAnsi="Arial Narrow"/>
                <w:sz w:val="22"/>
                <w:szCs w:val="22"/>
              </w:rPr>
            </w:pPr>
            <w:r w:rsidRPr="001141F5">
              <w:rPr>
                <w:rFonts w:ascii="Arial Narrow" w:hAnsi="Arial Narrow"/>
                <w:i/>
                <w:sz w:val="22"/>
                <w:szCs w:val="22"/>
              </w:rPr>
              <w:t>Rationale (Why you are setting this objective</w:t>
            </w:r>
            <w:r w:rsidR="0036346B" w:rsidRPr="001141F5">
              <w:rPr>
                <w:rFonts w:ascii="Arial Narrow" w:hAnsi="Arial Narrow"/>
                <w:i/>
                <w:sz w:val="22"/>
                <w:szCs w:val="22"/>
              </w:rPr>
              <w:t>? M</w:t>
            </w:r>
            <w:r w:rsidRPr="001141F5">
              <w:rPr>
                <w:rFonts w:ascii="Arial Narrow" w:hAnsi="Arial Narrow"/>
                <w:i/>
                <w:sz w:val="22"/>
                <w:szCs w:val="22"/>
              </w:rPr>
              <w:t>ark with “X”)</w:t>
            </w:r>
            <w:r w:rsidR="007C53D1" w:rsidRPr="001141F5">
              <w:rPr>
                <w:rFonts w:ascii="Arial Narrow" w:hAnsi="Arial Narrow"/>
                <w:sz w:val="22"/>
                <w:szCs w:val="22"/>
              </w:rPr>
              <w:t>:</w:t>
            </w:r>
          </w:p>
          <w:p w:rsidR="007C53D1" w:rsidRPr="001141F5" w:rsidRDefault="007C53D1" w:rsidP="00972106">
            <w:pPr>
              <w:rPr>
                <w:rFonts w:ascii="Arial Narrow" w:hAnsi="Arial Narrow"/>
                <w:sz w:val="22"/>
                <w:szCs w:val="22"/>
              </w:rPr>
            </w:pPr>
            <w:r w:rsidRPr="001141F5">
              <w:rPr>
                <w:rFonts w:ascii="Arial Narrow" w:hAnsi="Arial Narrow"/>
                <w:sz w:val="22"/>
                <w:szCs w:val="22"/>
                <w:u w:val="single"/>
              </w:rPr>
              <w:sym w:font="Symbol" w:char="F092"/>
            </w:r>
            <w:r w:rsidRPr="001141F5">
              <w:rPr>
                <w:rFonts w:ascii="Arial Narrow" w:hAnsi="Arial Narrow"/>
                <w:sz w:val="22"/>
                <w:szCs w:val="22"/>
              </w:rPr>
              <w:t xml:space="preserve"> Effectiveness/quality action </w:t>
            </w:r>
            <w:r w:rsidRPr="001141F5">
              <w:rPr>
                <w:rFonts w:ascii="Arial Narrow" w:hAnsi="Arial Narrow"/>
                <w:sz w:val="22"/>
                <w:szCs w:val="22"/>
                <w:u w:val="single"/>
              </w:rPr>
              <w:sym w:font="Symbol" w:char="F092"/>
            </w:r>
            <w:r w:rsidRPr="001141F5">
              <w:rPr>
                <w:rFonts w:ascii="Arial Narrow" w:hAnsi="Arial Narrow"/>
                <w:sz w:val="22"/>
                <w:szCs w:val="22"/>
              </w:rPr>
              <w:t xml:space="preserve"> Efficiency/cost action   </w:t>
            </w:r>
          </w:p>
          <w:p w:rsidR="007C53D1" w:rsidRPr="001141F5" w:rsidRDefault="007C53D1" w:rsidP="00972106">
            <w:pPr>
              <w:rPr>
                <w:rFonts w:ascii="Arial Narrow" w:hAnsi="Arial Narrow"/>
                <w:sz w:val="22"/>
                <w:szCs w:val="22"/>
              </w:rPr>
            </w:pPr>
            <w:r w:rsidRPr="001141F5">
              <w:rPr>
                <w:rFonts w:ascii="Arial Narrow" w:hAnsi="Arial Narrow"/>
                <w:sz w:val="22"/>
                <w:szCs w:val="22"/>
                <w:u w:val="single"/>
              </w:rPr>
              <w:sym w:font="Symbol" w:char="F092"/>
            </w:r>
            <w:r w:rsidRPr="001141F5">
              <w:rPr>
                <w:rFonts w:ascii="Arial Narrow" w:hAnsi="Arial Narrow"/>
                <w:sz w:val="22"/>
                <w:szCs w:val="22"/>
                <w:u w:val="single"/>
              </w:rPr>
              <w:t xml:space="preserve"> </w:t>
            </w:r>
            <w:r w:rsidRPr="001141F5">
              <w:rPr>
                <w:rFonts w:ascii="Arial Narrow" w:hAnsi="Arial Narrow"/>
                <w:sz w:val="22"/>
                <w:szCs w:val="22"/>
              </w:rPr>
              <w:t xml:space="preserve">Compliance issue </w:t>
            </w:r>
            <w:r w:rsidRPr="001141F5">
              <w:rPr>
                <w:rFonts w:ascii="Arial Narrow" w:hAnsi="Arial Narrow"/>
                <w:sz w:val="22"/>
                <w:szCs w:val="22"/>
                <w:u w:val="single"/>
              </w:rPr>
              <w:sym w:font="Symbol" w:char="F092"/>
            </w:r>
            <w:r w:rsidRPr="001141F5">
              <w:rPr>
                <w:rFonts w:ascii="Arial Narrow" w:hAnsi="Arial Narrow"/>
                <w:sz w:val="22"/>
                <w:szCs w:val="22"/>
              </w:rPr>
              <w:t xml:space="preserve"> Satisfaction measure  </w:t>
            </w:r>
            <w:r w:rsidR="001141F5" w:rsidRPr="001141F5">
              <w:rPr>
                <w:rFonts w:ascii="Arial Narrow" w:hAnsi="Arial Narrow"/>
                <w:sz w:val="22"/>
                <w:szCs w:val="22"/>
                <w:u w:val="single"/>
              </w:rPr>
              <w:sym w:font="Wingdings" w:char="F078"/>
            </w:r>
            <w:r w:rsidRPr="001141F5">
              <w:rPr>
                <w:rFonts w:ascii="Arial Narrow" w:hAnsi="Arial Narrow"/>
                <w:sz w:val="22"/>
                <w:szCs w:val="22"/>
              </w:rPr>
              <w:t xml:space="preserve"> Create baseline  </w:t>
            </w:r>
          </w:p>
          <w:p w:rsidR="007C53D1" w:rsidRPr="001141F5" w:rsidRDefault="001141F5" w:rsidP="00972106">
            <w:pPr>
              <w:rPr>
                <w:rFonts w:ascii="Arial Narrow" w:hAnsi="Arial Narrow"/>
                <w:sz w:val="22"/>
                <w:szCs w:val="22"/>
              </w:rPr>
            </w:pPr>
            <w:r w:rsidRPr="001141F5">
              <w:rPr>
                <w:rFonts w:ascii="Arial Narrow" w:hAnsi="Arial Narrow"/>
                <w:sz w:val="22"/>
                <w:szCs w:val="22"/>
                <w:u w:val="single"/>
              </w:rPr>
              <w:sym w:font="Wingdings" w:char="F078"/>
            </w:r>
            <w:r w:rsidR="007C53D1" w:rsidRPr="001141F5">
              <w:rPr>
                <w:rFonts w:ascii="Arial Narrow" w:hAnsi="Arial Narrow"/>
                <w:sz w:val="22"/>
                <w:szCs w:val="22"/>
              </w:rPr>
              <w:t xml:space="preserve"> Other (explain): </w:t>
            </w:r>
            <w:r w:rsidRPr="001141F5">
              <w:rPr>
                <w:rFonts w:ascii="Arial Narrow" w:hAnsi="Arial Narrow"/>
                <w:sz w:val="22"/>
                <w:szCs w:val="22"/>
              </w:rPr>
              <w:t>A portion of the data collected is not of use (e.g., graduates listing part-time, temporary employment as permanent employment).</w:t>
            </w:r>
          </w:p>
          <w:p w:rsidR="007C53D1" w:rsidRPr="001141F5" w:rsidRDefault="007C53D1" w:rsidP="00972106">
            <w:pPr>
              <w:rPr>
                <w:rFonts w:ascii="Arial Narrow" w:hAnsi="Arial Narrow"/>
                <w:sz w:val="22"/>
                <w:szCs w:val="22"/>
              </w:rPr>
            </w:pPr>
          </w:p>
          <w:p w:rsidR="00055B6F" w:rsidRPr="001141F5" w:rsidRDefault="0078704B" w:rsidP="00972106">
            <w:pPr>
              <w:rPr>
                <w:rFonts w:ascii="Arial Narrow" w:hAnsi="Arial Narrow"/>
                <w:sz w:val="22"/>
                <w:szCs w:val="22"/>
              </w:rPr>
            </w:pPr>
            <w:r w:rsidRPr="001141F5">
              <w:rPr>
                <w:rFonts w:ascii="Arial Narrow" w:hAnsi="Arial Narrow"/>
                <w:i/>
                <w:sz w:val="22"/>
                <w:szCs w:val="22"/>
              </w:rPr>
              <w:t>Does this objective relate to a Road Map goal? (Refer to last page for the Road Map goals). If yes, type the related Road Map codes here</w:t>
            </w:r>
            <w:r w:rsidR="00055B6F" w:rsidRPr="001141F5">
              <w:rPr>
                <w:rFonts w:ascii="Arial Narrow" w:hAnsi="Arial Narrow"/>
                <w:sz w:val="22"/>
                <w:szCs w:val="22"/>
              </w:rPr>
              <w:t xml:space="preserve">:  </w:t>
            </w:r>
          </w:p>
          <w:p w:rsidR="007C53D1" w:rsidRPr="001141F5" w:rsidRDefault="007C53D1" w:rsidP="00972106">
            <w:pPr>
              <w:rPr>
                <w:rFonts w:ascii="Arial Narrow" w:hAnsi="Arial Narrow"/>
                <w:sz w:val="22"/>
                <w:szCs w:val="22"/>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1141F5" w:rsidRDefault="007C53D1" w:rsidP="00972106">
            <w:pPr>
              <w:pStyle w:val="Default"/>
              <w:rPr>
                <w:rFonts w:ascii="Arial Narrow" w:hAnsi="Arial Narrow" w:cs="Arial"/>
                <w:sz w:val="22"/>
                <w:szCs w:val="22"/>
              </w:rPr>
            </w:pPr>
            <w:r w:rsidRPr="001141F5">
              <w:rPr>
                <w:rFonts w:ascii="Arial Narrow" w:hAnsi="Arial Narrow" w:cs="Arial"/>
                <w:sz w:val="22"/>
                <w:szCs w:val="22"/>
              </w:rPr>
              <w:t>Describe timetable plans to achieve objective.</w:t>
            </w:r>
          </w:p>
          <w:p w:rsidR="001141F5" w:rsidRPr="001141F5" w:rsidRDefault="001141F5" w:rsidP="001141F5">
            <w:pPr>
              <w:pStyle w:val="ListParagraph"/>
              <w:numPr>
                <w:ilvl w:val="0"/>
                <w:numId w:val="4"/>
              </w:numPr>
              <w:ind w:left="294" w:hanging="270"/>
              <w:rPr>
                <w:rFonts w:ascii="Arial Narrow" w:hAnsi="Arial Narrow" w:cs="Arial"/>
                <w:sz w:val="22"/>
                <w:szCs w:val="22"/>
              </w:rPr>
            </w:pPr>
            <w:r w:rsidRPr="001141F5">
              <w:rPr>
                <w:rFonts w:ascii="Arial Narrow" w:hAnsi="Arial Narrow" w:cs="Arial"/>
                <w:sz w:val="22"/>
                <w:szCs w:val="22"/>
              </w:rPr>
              <w:t xml:space="preserve">By the end of the 2011 Fall Semester, </w:t>
            </w:r>
            <w:r>
              <w:rPr>
                <w:rFonts w:ascii="Arial Narrow" w:hAnsi="Arial Narrow" w:cs="Arial"/>
                <w:sz w:val="22"/>
                <w:szCs w:val="22"/>
              </w:rPr>
              <w:t>revise the graduate survey to more clearly ask for needed data.</w:t>
            </w:r>
          </w:p>
          <w:p w:rsidR="001141F5" w:rsidRDefault="001141F5" w:rsidP="001141F5">
            <w:pPr>
              <w:pStyle w:val="ListParagraph"/>
              <w:numPr>
                <w:ilvl w:val="0"/>
                <w:numId w:val="4"/>
              </w:numPr>
              <w:ind w:left="294" w:hanging="270"/>
              <w:rPr>
                <w:rFonts w:ascii="Arial Narrow" w:hAnsi="Arial Narrow"/>
                <w:sz w:val="22"/>
                <w:szCs w:val="22"/>
              </w:rPr>
            </w:pPr>
            <w:r>
              <w:rPr>
                <w:rFonts w:ascii="Arial Narrow" w:hAnsi="Arial Narrow" w:cs="Arial"/>
                <w:sz w:val="22"/>
                <w:szCs w:val="22"/>
              </w:rPr>
              <w:t xml:space="preserve">By the end of the 2011 Fall Semester, </w:t>
            </w:r>
            <w:r w:rsidRPr="001141F5">
              <w:rPr>
                <w:rFonts w:ascii="Arial Narrow" w:hAnsi="Arial Narrow" w:cs="Arial"/>
                <w:sz w:val="22"/>
                <w:szCs w:val="22"/>
              </w:rPr>
              <w:t>develop and i</w:t>
            </w:r>
            <w:r w:rsidRPr="001141F5">
              <w:rPr>
                <w:rFonts w:ascii="Arial Narrow" w:hAnsi="Arial Narrow"/>
                <w:sz w:val="22"/>
                <w:szCs w:val="22"/>
              </w:rPr>
              <w:t>mplement a new process for conducting the survey and follow-up.</w:t>
            </w:r>
          </w:p>
          <w:p w:rsidR="007C53D1" w:rsidRPr="001141F5" w:rsidRDefault="001141F5" w:rsidP="00972106">
            <w:pPr>
              <w:pStyle w:val="ListParagraph"/>
              <w:numPr>
                <w:ilvl w:val="0"/>
                <w:numId w:val="4"/>
              </w:numPr>
              <w:ind w:left="294" w:hanging="270"/>
              <w:rPr>
                <w:rFonts w:ascii="Arial Narrow" w:hAnsi="Arial Narrow"/>
                <w:sz w:val="22"/>
                <w:szCs w:val="22"/>
              </w:rPr>
            </w:pPr>
            <w:r>
              <w:rPr>
                <w:rFonts w:ascii="Arial Narrow" w:hAnsi="Arial Narrow"/>
                <w:sz w:val="22"/>
                <w:szCs w:val="22"/>
              </w:rPr>
              <w:t>Conduct the revised survey, and begin the new process, at practice for the December, 2011, Commencement Exercise.</w:t>
            </w:r>
          </w:p>
          <w:p w:rsidR="007C53D1" w:rsidRPr="001141F5" w:rsidRDefault="007C53D1" w:rsidP="00972106">
            <w:pPr>
              <w:pStyle w:val="Default"/>
              <w:rPr>
                <w:rFonts w:ascii="Arial Narrow" w:hAnsi="Arial Narrow" w:cs="Arial"/>
                <w:sz w:val="22"/>
                <w:szCs w:val="22"/>
              </w:rPr>
            </w:pPr>
          </w:p>
          <w:p w:rsidR="007C53D1" w:rsidRPr="001141F5" w:rsidRDefault="0078704B" w:rsidP="00972106">
            <w:pPr>
              <w:pStyle w:val="Default"/>
              <w:rPr>
                <w:rFonts w:ascii="Arial Narrow" w:hAnsi="Arial Narrow"/>
                <w:sz w:val="22"/>
                <w:szCs w:val="22"/>
              </w:rPr>
            </w:pPr>
            <w:r w:rsidRPr="001141F5">
              <w:rPr>
                <w:rFonts w:ascii="Arial Narrow" w:hAnsi="Arial Narrow" w:cs="Arial"/>
                <w:i/>
                <w:sz w:val="22"/>
                <w:szCs w:val="22"/>
              </w:rPr>
              <w:t>Beyond completing the above steps, how will you judge whether the objective was a success</w:t>
            </w:r>
            <w:r w:rsidR="007C53D1" w:rsidRPr="001141F5">
              <w:rPr>
                <w:rFonts w:ascii="Arial Narrow" w:hAnsi="Arial Narrow" w:cs="Arial"/>
                <w:sz w:val="22"/>
                <w:szCs w:val="22"/>
              </w:rPr>
              <w:t>?</w:t>
            </w:r>
            <w:r w:rsidR="0036346B" w:rsidRPr="001141F5">
              <w:rPr>
                <w:rFonts w:ascii="Arial Narrow" w:hAnsi="Arial Narrow" w:cs="Arial"/>
                <w:sz w:val="22"/>
                <w:szCs w:val="22"/>
                <w:vertAlign w:val="superscript"/>
              </w:rPr>
              <w:t>1</w:t>
            </w:r>
            <w:r w:rsidR="007C53D1" w:rsidRPr="001141F5">
              <w:rPr>
                <w:rFonts w:ascii="Arial Narrow" w:hAnsi="Arial Narrow" w:cs="Arial"/>
                <w:sz w:val="22"/>
                <w:szCs w:val="22"/>
              </w:rPr>
              <w:t xml:space="preserve"> </w:t>
            </w:r>
          </w:p>
          <w:p w:rsidR="007C53D1" w:rsidRPr="001141F5" w:rsidRDefault="007C53D1" w:rsidP="00972106">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8616B4" w:rsidRDefault="00E020E3" w:rsidP="00E020E3">
            <w:pPr>
              <w:rPr>
                <w:rFonts w:ascii="Arial Narrow" w:hAnsi="Arial Narrow"/>
              </w:rPr>
            </w:pPr>
            <w:r w:rsidRPr="008616B4">
              <w:rPr>
                <w:rFonts w:ascii="Arial Narrow" w:hAnsi="Arial Narrow"/>
                <w:sz w:val="22"/>
                <w:szCs w:val="22"/>
              </w:rPr>
              <w:t xml:space="preserve">3a-c. Due to discussions at the state level regarding how Michigan schools collect this data, not action was taken to revise or change the survey tool or the process for collecting data.  The Career Service Directors of the 15 state public </w:t>
            </w:r>
            <w:r w:rsidRPr="008616B4">
              <w:rPr>
                <w:rFonts w:ascii="Arial Narrow" w:hAnsi="Arial Narrow"/>
                <w:sz w:val="22"/>
                <w:szCs w:val="22"/>
              </w:rPr>
              <w:lastRenderedPageBreak/>
              <w:t>institutions will be convening in April to take on the task.</w:t>
            </w:r>
          </w:p>
        </w:tc>
        <w:tc>
          <w:tcPr>
            <w:tcW w:w="282" w:type="dxa"/>
            <w:tcBorders>
              <w:top w:val="nil"/>
              <w:left w:val="nil"/>
              <w:bottom w:val="single" w:sz="4" w:space="0" w:color="auto"/>
              <w:right w:val="nil"/>
            </w:tcBorders>
          </w:tcPr>
          <w:p w:rsidR="007C53D1" w:rsidRPr="008616B4"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Pr="008616B4" w:rsidRDefault="00E020E3" w:rsidP="008616B4">
            <w:pPr>
              <w:rPr>
                <w:rFonts w:ascii="Arial Narrow" w:hAnsi="Arial Narrow"/>
              </w:rPr>
            </w:pPr>
            <w:r w:rsidRPr="008616B4">
              <w:rPr>
                <w:rFonts w:ascii="Arial Narrow" w:hAnsi="Arial Narrow"/>
                <w:sz w:val="22"/>
                <w:szCs w:val="22"/>
              </w:rPr>
              <w:t>Not applicable.</w:t>
            </w:r>
            <w:r w:rsidR="008616B4">
              <w:rPr>
                <w:rFonts w:ascii="Arial Narrow" w:hAnsi="Arial Narrow"/>
                <w:sz w:val="22"/>
                <w:szCs w:val="22"/>
              </w:rPr>
              <w:t xml:space="preserve">  (At the April meeting, the 15 Career Service Directors did NOT finalize a consistent means of reporting.)</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8B" w:rsidRDefault="007C1D8B" w:rsidP="00CC0C16">
      <w:r>
        <w:separator/>
      </w:r>
    </w:p>
  </w:endnote>
  <w:endnote w:type="continuationSeparator" w:id="0">
    <w:p w:rsidR="007C1D8B" w:rsidRDefault="007C1D8B" w:rsidP="00CC0C16">
      <w:r>
        <w:continuationSeparator/>
      </w:r>
    </w:p>
  </w:endnote>
  <w:endnote w:id="1">
    <w:p w:rsidR="00824F9B" w:rsidRDefault="00824F9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F54317">
          <w:rPr>
            <w:rFonts w:asciiTheme="minorHAnsi" w:hAnsiTheme="minorHAnsi" w:cstheme="minorHAnsi"/>
            <w:noProof/>
            <w:sz w:val="18"/>
          </w:rPr>
          <w:t>1</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8B" w:rsidRDefault="007C1D8B" w:rsidP="00CC0C16">
      <w:r>
        <w:separator/>
      </w:r>
    </w:p>
  </w:footnote>
  <w:footnote w:type="continuationSeparator" w:id="0">
    <w:p w:rsidR="007C1D8B" w:rsidRDefault="007C1D8B"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4BF8"/>
    <w:multiLevelType w:val="hybridMultilevel"/>
    <w:tmpl w:val="54081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74AC4"/>
    <w:multiLevelType w:val="hybridMultilevel"/>
    <w:tmpl w:val="4142D5A4"/>
    <w:lvl w:ilvl="0" w:tplc="738416C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A32D91"/>
    <w:multiLevelType w:val="hybridMultilevel"/>
    <w:tmpl w:val="FF3E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065F74"/>
    <w:multiLevelType w:val="hybridMultilevel"/>
    <w:tmpl w:val="CCDCC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11BA"/>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41F5"/>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43E9"/>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4D67"/>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58EB"/>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8B"/>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16B4"/>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613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65DF"/>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44F2"/>
    <w:rsid w:val="00D546C7"/>
    <w:rsid w:val="00D552BB"/>
    <w:rsid w:val="00D60189"/>
    <w:rsid w:val="00D60577"/>
    <w:rsid w:val="00D6273F"/>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20E3"/>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77EBA"/>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52977"/>
    <w:rsid w:val="00F54317"/>
    <w:rsid w:val="00F614E1"/>
    <w:rsid w:val="00F62BC7"/>
    <w:rsid w:val="00F63D3F"/>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6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DABA-663F-43EE-91B0-533F3AFFA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9</cp:revision>
  <dcterms:created xsi:type="dcterms:W3CDTF">2011-06-22T11:59:00Z</dcterms:created>
  <dcterms:modified xsi:type="dcterms:W3CDTF">2012-06-27T20:03:00Z</dcterms:modified>
</cp:coreProperties>
</file>