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49559A" w:rsidP="00254735">
            <w:pPr>
              <w:rPr>
                <w:rFonts w:ascii="Arial Narrow" w:hAnsi="Arial Narrow"/>
              </w:rPr>
            </w:pPr>
            <w:r>
              <w:rPr>
                <w:rFonts w:ascii="Arial Narrow" w:hAnsi="Arial Narrow"/>
              </w:rPr>
              <w:t>Counseling and Consultation Services</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49559A" w:rsidP="0049559A">
            <w:pPr>
              <w:rPr>
                <w:rFonts w:ascii="Arial Narrow" w:hAnsi="Arial Narrow" w:cs="Arial"/>
              </w:rPr>
            </w:pPr>
            <w:r>
              <w:rPr>
                <w:rFonts w:ascii="Arial Narrow" w:hAnsi="Arial Narrow" w:cs="Arial"/>
                <w:sz w:val="22"/>
                <w:szCs w:val="22"/>
              </w:rPr>
              <w:sym w:font="Symbol" w:char="F0F0"/>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Pr>
                <w:rFonts w:ascii="Arial Narrow" w:hAnsi="Arial Narrow" w:cs="Arial"/>
                <w:sz w:val="22"/>
                <w:szCs w:val="22"/>
              </w:rPr>
              <w:sym w:font="Wingdings" w:char="F078"/>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49559A" w:rsidP="00254735">
            <w:pPr>
              <w:rPr>
                <w:rFonts w:ascii="Arial Narrow" w:hAnsi="Arial Narrow" w:cs="Arial"/>
              </w:rPr>
            </w:pPr>
            <w:r>
              <w:rPr>
                <w:rFonts w:ascii="Arial Narrow" w:hAnsi="Arial Narrow" w:cs="Arial"/>
              </w:rPr>
              <w:t>05-17-2012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49559A" w:rsidP="00254735">
            <w:pPr>
              <w:rPr>
                <w:rFonts w:ascii="Arial Narrow" w:hAnsi="Arial Narrow"/>
              </w:rPr>
            </w:pPr>
            <w:r>
              <w:rPr>
                <w:rFonts w:ascii="Arial Narrow" w:hAnsi="Arial Narrow"/>
              </w:rPr>
              <w:t>Marie Aho, Ph.D.</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49559A">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49559A">
              <w:rPr>
                <w:rFonts w:ascii="Arial Narrow" w:hAnsi="Arial Narrow" w:cs="Arial"/>
                <w:b/>
                <w:sz w:val="22"/>
                <w:szCs w:val="22"/>
              </w:rPr>
              <w:sym w:font="Wingdings" w:char="F078"/>
            </w:r>
            <w:r w:rsidR="007D2C63">
              <w:rPr>
                <w:rFonts w:ascii="Arial Narrow" w:hAnsi="Arial Narrow" w:cs="Arial"/>
                <w:b/>
                <w:sz w:val="22"/>
                <w:szCs w:val="22"/>
              </w:rPr>
              <w:t>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49559A" w:rsidP="00E47E9A">
            <w:pPr>
              <w:rPr>
                <w:rFonts w:ascii="Arial Narrow" w:hAnsi="Arial Narrow" w:cs="Arial"/>
                <w:szCs w:val="20"/>
              </w:rPr>
            </w:pPr>
            <w:r>
              <w:t>The mission of Counseling and Consultation Services is to provide high quality professional services which promote mental health, personal growth and development and crisis stabilization, while supporting student access and engagement in learning and academic excellence.</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49559A"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49559A"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5"/>
        <w:gridCol w:w="266"/>
        <w:gridCol w:w="4545"/>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54735" w:rsidRPr="009860CD" w:rsidRDefault="0049559A" w:rsidP="00972106">
            <w:pPr>
              <w:spacing w:after="240"/>
              <w:rPr>
                <w:rFonts w:ascii="Arial Narrow" w:hAnsi="Arial Narrow" w:cs="Arial"/>
              </w:rPr>
            </w:pPr>
            <w:r>
              <w:t>The Counseling and Consultation Services (CCS) clients will report perceived confidence that their Counselor, other Counselors in the office, the Secretary, and the Student Assistants protect their confidentiality.</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49559A" w:rsidRDefault="0049559A" w:rsidP="0049559A">
            <w:r>
              <w:t>CCS clients complete a Feedback/Evaluation form after the 4</w:t>
            </w:r>
            <w:r w:rsidRPr="00155365">
              <w:rPr>
                <w:vertAlign w:val="superscript"/>
              </w:rPr>
              <w:t>th</w:t>
            </w:r>
            <w:r>
              <w:t xml:space="preserve"> session and again upon termination of services.  Item 10 involves rating general service and confidence in confidentiality per category of staff.  Clients rate these items on a five point scale:  1 Poor; 2 Fair; 3 Good; 4 Very Good; 5 Excellent.  The benchmark is that 90% of clients will rate confidence in confidentiality at Very Good (4) or Excellent (5).  The Benchmark level of confidence in Student Assistants is a high </w:t>
            </w:r>
            <w:r>
              <w:lastRenderedPageBreak/>
              <w:t>standard to achieve considering that CCS clients may know one or more of the student assistants.  However, CCS considers this benchmark critical to clinical operation.   Data for students who received mandated assessments were removed.</w:t>
            </w:r>
          </w:p>
          <w:p w:rsidR="00CE01D3" w:rsidRPr="009860CD" w:rsidRDefault="00CE01D3" w:rsidP="000A1CAE">
            <w:pPr>
              <w:rPr>
                <w:rFonts w:ascii="Arial Narrow" w:hAnsi="Arial Narrow" w:cs="Arial"/>
              </w:rPr>
            </w:pPr>
          </w:p>
          <w:p w:rsidR="00254735" w:rsidRPr="009860CD" w:rsidRDefault="00254735" w:rsidP="000A1CAE">
            <w:pPr>
              <w:rPr>
                <w:rFonts w:ascii="Arial Narrow" w:hAnsi="Arial Narrow"/>
              </w:rPr>
            </w:pP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49559A" w:rsidRPr="003B12BC" w:rsidRDefault="0049559A" w:rsidP="0049559A">
            <w:r>
              <w:t>The objective was not entirely met.</w:t>
            </w:r>
          </w:p>
          <w:p w:rsidR="0049559A" w:rsidRDefault="0049559A" w:rsidP="0049559A"/>
          <w:p w:rsidR="0049559A" w:rsidRDefault="0049559A" w:rsidP="0049559A">
            <w:r>
              <w:t xml:space="preserve">The data were removed for students who were mandated by the Dean of </w:t>
            </w:r>
            <w:r w:rsidR="00A10B8F">
              <w:t>Students for an assessment for self- destructive b</w:t>
            </w:r>
            <w:r>
              <w:t>ehavior because they are required to sign a Release of Information so the counselor can talk to the Dean. Students are aware of significant limitations to confidentiality for the assessment information only.</w:t>
            </w:r>
          </w:p>
          <w:p w:rsidR="0049559A" w:rsidRDefault="0049559A" w:rsidP="0049559A"/>
          <w:p w:rsidR="0049559A" w:rsidRPr="00E753DD" w:rsidRDefault="0049559A" w:rsidP="0049559A">
            <w:pPr>
              <w:rPr>
                <w:sz w:val="20"/>
                <w:szCs w:val="20"/>
              </w:rPr>
            </w:pPr>
            <w:r w:rsidRPr="00E753DD">
              <w:rPr>
                <w:sz w:val="20"/>
                <w:szCs w:val="20"/>
              </w:rPr>
              <w:t>The 2011-2012 Confidence in Confidentiality ratings per staff category:</w:t>
            </w:r>
          </w:p>
          <w:tbl>
            <w:tblPr>
              <w:tblW w:w="59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920"/>
              <w:gridCol w:w="1210"/>
              <w:gridCol w:w="1465"/>
              <w:gridCol w:w="1348"/>
            </w:tblGrid>
            <w:tr w:rsidR="0049559A" w:rsidRPr="00A25358" w:rsidTr="0049559A">
              <w:trPr>
                <w:trHeight w:val="560"/>
              </w:trPr>
              <w:tc>
                <w:tcPr>
                  <w:tcW w:w="1920" w:type="dxa"/>
                  <w:shd w:val="clear" w:color="auto" w:fill="auto"/>
                  <w:noWrap/>
                  <w:vAlign w:val="bottom"/>
                  <w:hideMark/>
                </w:tcPr>
                <w:p w:rsidR="0049559A" w:rsidRPr="00A25358" w:rsidRDefault="0049559A" w:rsidP="0049559A">
                  <w:pPr>
                    <w:rPr>
                      <w:rFonts w:ascii="Calibri" w:hAnsi="Calibri" w:cs="Calibri"/>
                      <w:color w:val="000000"/>
                      <w:sz w:val="20"/>
                      <w:szCs w:val="20"/>
                    </w:rPr>
                  </w:pPr>
                </w:p>
              </w:tc>
              <w:tc>
                <w:tcPr>
                  <w:tcW w:w="1210" w:type="dxa"/>
                  <w:shd w:val="clear" w:color="auto" w:fill="auto"/>
                  <w:vAlign w:val="bottom"/>
                  <w:hideMark/>
                </w:tcPr>
                <w:p w:rsidR="0049559A" w:rsidRPr="00A25358" w:rsidRDefault="0049559A" w:rsidP="0049559A">
                  <w:pPr>
                    <w:ind w:left="221"/>
                    <w:jc w:val="center"/>
                    <w:rPr>
                      <w:rFonts w:ascii="Calibri" w:hAnsi="Calibri" w:cs="Calibri"/>
                      <w:color w:val="000000"/>
                      <w:sz w:val="20"/>
                      <w:szCs w:val="20"/>
                    </w:rPr>
                  </w:pPr>
                  <w:r w:rsidRPr="00A25358">
                    <w:rPr>
                      <w:rFonts w:ascii="Calibri" w:hAnsi="Calibri" w:cs="Calibri"/>
                      <w:color w:val="000000"/>
                      <w:sz w:val="20"/>
                      <w:szCs w:val="20"/>
                    </w:rPr>
                    <w:t xml:space="preserve">Very </w:t>
                  </w:r>
                  <w:r w:rsidRPr="00A25358">
                    <w:rPr>
                      <w:rFonts w:ascii="Calibri" w:hAnsi="Calibri" w:cs="Calibri"/>
                      <w:color w:val="000000"/>
                      <w:sz w:val="20"/>
                      <w:szCs w:val="20"/>
                    </w:rPr>
                    <w:br/>
                    <w:t>Good</w:t>
                  </w:r>
                  <w:r>
                    <w:rPr>
                      <w:rFonts w:ascii="Calibri" w:hAnsi="Calibri" w:cs="Calibri"/>
                      <w:color w:val="000000"/>
                      <w:sz w:val="20"/>
                      <w:szCs w:val="20"/>
                    </w:rPr>
                    <w:t xml:space="preserve"> (4)</w:t>
                  </w:r>
                </w:p>
              </w:tc>
              <w:tc>
                <w:tcPr>
                  <w:tcW w:w="1465" w:type="dxa"/>
                  <w:shd w:val="clear" w:color="auto" w:fill="auto"/>
                  <w:noWrap/>
                  <w:vAlign w:val="bottom"/>
                  <w:hideMark/>
                </w:tcPr>
                <w:p w:rsidR="0049559A" w:rsidRPr="00A25358" w:rsidRDefault="0049559A" w:rsidP="0049559A">
                  <w:pPr>
                    <w:ind w:left="432"/>
                    <w:rPr>
                      <w:rFonts w:ascii="Calibri" w:hAnsi="Calibri" w:cs="Calibri"/>
                      <w:color w:val="000000"/>
                      <w:sz w:val="20"/>
                      <w:szCs w:val="20"/>
                    </w:rPr>
                  </w:pPr>
                  <w:r w:rsidRPr="00A25358">
                    <w:rPr>
                      <w:rFonts w:ascii="Calibri" w:hAnsi="Calibri" w:cs="Calibri"/>
                      <w:color w:val="000000"/>
                      <w:sz w:val="20"/>
                      <w:szCs w:val="20"/>
                    </w:rPr>
                    <w:t>Excellent</w:t>
                  </w:r>
                  <w:r>
                    <w:rPr>
                      <w:rFonts w:ascii="Calibri" w:hAnsi="Calibri" w:cs="Calibri"/>
                      <w:color w:val="000000"/>
                      <w:sz w:val="20"/>
                      <w:szCs w:val="20"/>
                    </w:rPr>
                    <w:t xml:space="preserve">    (5)</w:t>
                  </w:r>
                </w:p>
              </w:tc>
              <w:tc>
                <w:tcPr>
                  <w:tcW w:w="1348" w:type="dxa"/>
                  <w:shd w:val="clear" w:color="auto" w:fill="auto"/>
                  <w:vAlign w:val="bottom"/>
                  <w:hideMark/>
                </w:tcPr>
                <w:p w:rsidR="0049559A" w:rsidRPr="00A25358" w:rsidRDefault="0049559A" w:rsidP="0049559A">
                  <w:pPr>
                    <w:ind w:left="215"/>
                    <w:jc w:val="center"/>
                    <w:rPr>
                      <w:rFonts w:ascii="Calibri" w:hAnsi="Calibri" w:cs="Calibri"/>
                      <w:color w:val="000000"/>
                      <w:sz w:val="20"/>
                      <w:szCs w:val="20"/>
                    </w:rPr>
                  </w:pPr>
                  <w:r w:rsidRPr="00A25358">
                    <w:rPr>
                      <w:rFonts w:ascii="Calibri" w:hAnsi="Calibri" w:cs="Calibri"/>
                      <w:color w:val="000000"/>
                      <w:sz w:val="20"/>
                      <w:szCs w:val="20"/>
                    </w:rPr>
                    <w:t>Total</w:t>
                  </w:r>
                  <w:r w:rsidRPr="00A25358">
                    <w:rPr>
                      <w:rFonts w:ascii="Calibri" w:hAnsi="Calibri" w:cs="Calibri"/>
                      <w:color w:val="000000"/>
                      <w:sz w:val="20"/>
                      <w:szCs w:val="20"/>
                    </w:rPr>
                    <w:br/>
                    <w:t>(4+5)</w:t>
                  </w:r>
                </w:p>
              </w:tc>
            </w:tr>
            <w:tr w:rsidR="0049559A" w:rsidRPr="00A25358" w:rsidTr="0049559A">
              <w:trPr>
                <w:trHeight w:val="560"/>
              </w:trPr>
              <w:tc>
                <w:tcPr>
                  <w:tcW w:w="1920" w:type="dxa"/>
                  <w:shd w:val="clear" w:color="auto" w:fill="auto"/>
                  <w:vAlign w:val="bottom"/>
                  <w:hideMark/>
                </w:tcPr>
                <w:p w:rsidR="0049559A" w:rsidRPr="00A25358" w:rsidRDefault="0049559A" w:rsidP="0049559A">
                  <w:pPr>
                    <w:rPr>
                      <w:rFonts w:ascii="Calibri" w:hAnsi="Calibri" w:cs="Calibri"/>
                      <w:color w:val="000000"/>
                      <w:sz w:val="20"/>
                      <w:szCs w:val="20"/>
                    </w:rPr>
                  </w:pPr>
                  <w:r w:rsidRPr="00A25358">
                    <w:rPr>
                      <w:rFonts w:ascii="Calibri" w:hAnsi="Calibri" w:cs="Calibri"/>
                      <w:color w:val="000000"/>
                      <w:sz w:val="20"/>
                      <w:szCs w:val="20"/>
                    </w:rPr>
                    <w:t>My Counselor</w:t>
                  </w:r>
                </w:p>
              </w:tc>
              <w:tc>
                <w:tcPr>
                  <w:tcW w:w="1210"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18.63</w:t>
                  </w:r>
                  <w:r w:rsidRPr="00A25358">
                    <w:rPr>
                      <w:rFonts w:ascii="Calibri" w:hAnsi="Calibri" w:cs="Calibri"/>
                      <w:color w:val="000000"/>
                      <w:sz w:val="20"/>
                      <w:szCs w:val="20"/>
                    </w:rPr>
                    <w:t>%</w:t>
                  </w:r>
                </w:p>
              </w:tc>
              <w:tc>
                <w:tcPr>
                  <w:tcW w:w="1465" w:type="dxa"/>
                  <w:shd w:val="clear" w:color="auto" w:fill="auto"/>
                  <w:noWrap/>
                  <w:vAlign w:val="bottom"/>
                  <w:hideMark/>
                </w:tcPr>
                <w:p w:rsidR="0049559A" w:rsidRPr="00A25358" w:rsidRDefault="0049559A" w:rsidP="0049559A">
                  <w:pPr>
                    <w:tabs>
                      <w:tab w:val="left" w:pos="972"/>
                    </w:tabs>
                    <w:ind w:left="-198"/>
                    <w:jc w:val="right"/>
                    <w:rPr>
                      <w:rFonts w:ascii="Calibri" w:hAnsi="Calibri" w:cs="Calibri"/>
                      <w:color w:val="000000"/>
                      <w:sz w:val="20"/>
                      <w:szCs w:val="20"/>
                    </w:rPr>
                  </w:pPr>
                  <w:r>
                    <w:rPr>
                      <w:rFonts w:ascii="Calibri" w:hAnsi="Calibri" w:cs="Calibri"/>
                      <w:color w:val="000000"/>
                      <w:sz w:val="20"/>
                      <w:szCs w:val="20"/>
                    </w:rPr>
                    <w:t>76.91</w:t>
                  </w:r>
                  <w:r w:rsidRPr="00A25358">
                    <w:rPr>
                      <w:rFonts w:ascii="Calibri" w:hAnsi="Calibri" w:cs="Calibri"/>
                      <w:color w:val="000000"/>
                      <w:sz w:val="20"/>
                      <w:szCs w:val="20"/>
                    </w:rPr>
                    <w:t>%</w:t>
                  </w:r>
                </w:p>
              </w:tc>
              <w:tc>
                <w:tcPr>
                  <w:tcW w:w="1348"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95.55</w:t>
                  </w:r>
                  <w:r w:rsidRPr="00A25358">
                    <w:rPr>
                      <w:rFonts w:ascii="Calibri" w:hAnsi="Calibri" w:cs="Calibri"/>
                      <w:color w:val="000000"/>
                      <w:sz w:val="20"/>
                      <w:szCs w:val="20"/>
                    </w:rPr>
                    <w:t>%</w:t>
                  </w:r>
                </w:p>
              </w:tc>
            </w:tr>
            <w:tr w:rsidR="0049559A" w:rsidRPr="00A25358" w:rsidTr="0049559A">
              <w:trPr>
                <w:trHeight w:val="560"/>
              </w:trPr>
              <w:tc>
                <w:tcPr>
                  <w:tcW w:w="1920" w:type="dxa"/>
                  <w:shd w:val="clear" w:color="auto" w:fill="auto"/>
                  <w:vAlign w:val="bottom"/>
                  <w:hideMark/>
                </w:tcPr>
                <w:p w:rsidR="0049559A" w:rsidRPr="00A25358" w:rsidRDefault="0049559A" w:rsidP="0049559A">
                  <w:pPr>
                    <w:rPr>
                      <w:rFonts w:ascii="Calibri" w:hAnsi="Calibri" w:cs="Calibri"/>
                      <w:color w:val="000000"/>
                      <w:sz w:val="20"/>
                      <w:szCs w:val="20"/>
                    </w:rPr>
                  </w:pPr>
                  <w:r w:rsidRPr="00A25358">
                    <w:rPr>
                      <w:rFonts w:ascii="Calibri" w:hAnsi="Calibri" w:cs="Calibri"/>
                      <w:color w:val="000000"/>
                      <w:sz w:val="20"/>
                      <w:szCs w:val="20"/>
                    </w:rPr>
                    <w:t>Other Counselor</w:t>
                  </w:r>
                </w:p>
              </w:tc>
              <w:tc>
                <w:tcPr>
                  <w:tcW w:w="1210"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21.81</w:t>
                  </w:r>
                  <w:r w:rsidRPr="00A25358">
                    <w:rPr>
                      <w:rFonts w:ascii="Calibri" w:hAnsi="Calibri" w:cs="Calibri"/>
                      <w:color w:val="000000"/>
                      <w:sz w:val="20"/>
                      <w:szCs w:val="20"/>
                    </w:rPr>
                    <w:t>%</w:t>
                  </w:r>
                </w:p>
              </w:tc>
              <w:tc>
                <w:tcPr>
                  <w:tcW w:w="1465"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65.17</w:t>
                  </w:r>
                  <w:r w:rsidRPr="00A25358">
                    <w:rPr>
                      <w:rFonts w:ascii="Calibri" w:hAnsi="Calibri" w:cs="Calibri"/>
                      <w:color w:val="000000"/>
                      <w:sz w:val="20"/>
                      <w:szCs w:val="20"/>
                    </w:rPr>
                    <w:t>%</w:t>
                  </w:r>
                </w:p>
              </w:tc>
              <w:tc>
                <w:tcPr>
                  <w:tcW w:w="1348"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86.99</w:t>
                  </w:r>
                  <w:r w:rsidRPr="00A25358">
                    <w:rPr>
                      <w:rFonts w:ascii="Calibri" w:hAnsi="Calibri" w:cs="Calibri"/>
                      <w:color w:val="000000"/>
                      <w:sz w:val="20"/>
                      <w:szCs w:val="20"/>
                    </w:rPr>
                    <w:t>%</w:t>
                  </w:r>
                </w:p>
              </w:tc>
            </w:tr>
            <w:tr w:rsidR="0049559A" w:rsidRPr="00A25358" w:rsidTr="0049559A">
              <w:trPr>
                <w:trHeight w:val="320"/>
              </w:trPr>
              <w:tc>
                <w:tcPr>
                  <w:tcW w:w="1920" w:type="dxa"/>
                  <w:shd w:val="clear" w:color="auto" w:fill="auto"/>
                  <w:vAlign w:val="bottom"/>
                  <w:hideMark/>
                </w:tcPr>
                <w:p w:rsidR="0049559A" w:rsidRPr="00A25358" w:rsidRDefault="0049559A" w:rsidP="0049559A">
                  <w:pPr>
                    <w:rPr>
                      <w:rFonts w:ascii="Calibri" w:hAnsi="Calibri" w:cs="Calibri"/>
                      <w:color w:val="000000"/>
                      <w:sz w:val="20"/>
                      <w:szCs w:val="20"/>
                    </w:rPr>
                  </w:pPr>
                  <w:r w:rsidRPr="00A25358">
                    <w:rPr>
                      <w:rFonts w:ascii="Calibri" w:hAnsi="Calibri" w:cs="Calibri"/>
                      <w:color w:val="000000"/>
                      <w:sz w:val="20"/>
                      <w:szCs w:val="20"/>
                    </w:rPr>
                    <w:t>Secretary</w:t>
                  </w:r>
                </w:p>
              </w:tc>
              <w:tc>
                <w:tcPr>
                  <w:tcW w:w="1210"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22.40</w:t>
                  </w:r>
                  <w:r w:rsidRPr="00A25358">
                    <w:rPr>
                      <w:rFonts w:ascii="Calibri" w:hAnsi="Calibri" w:cs="Calibri"/>
                      <w:color w:val="000000"/>
                      <w:sz w:val="20"/>
                      <w:szCs w:val="20"/>
                    </w:rPr>
                    <w:t>%</w:t>
                  </w:r>
                </w:p>
              </w:tc>
              <w:tc>
                <w:tcPr>
                  <w:tcW w:w="1465"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69.32</w:t>
                  </w:r>
                  <w:r w:rsidRPr="00A25358">
                    <w:rPr>
                      <w:rFonts w:ascii="Calibri" w:hAnsi="Calibri" w:cs="Calibri"/>
                      <w:color w:val="000000"/>
                      <w:sz w:val="20"/>
                      <w:szCs w:val="20"/>
                    </w:rPr>
                    <w:t>%</w:t>
                  </w:r>
                </w:p>
              </w:tc>
              <w:tc>
                <w:tcPr>
                  <w:tcW w:w="1348"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91.72</w:t>
                  </w:r>
                  <w:r w:rsidRPr="00A25358">
                    <w:rPr>
                      <w:rFonts w:ascii="Calibri" w:hAnsi="Calibri" w:cs="Calibri"/>
                      <w:color w:val="000000"/>
                      <w:sz w:val="20"/>
                      <w:szCs w:val="20"/>
                    </w:rPr>
                    <w:t>%</w:t>
                  </w:r>
                </w:p>
              </w:tc>
            </w:tr>
            <w:tr w:rsidR="0049559A" w:rsidRPr="00A25358" w:rsidTr="0049559A">
              <w:trPr>
                <w:trHeight w:val="560"/>
              </w:trPr>
              <w:tc>
                <w:tcPr>
                  <w:tcW w:w="1920" w:type="dxa"/>
                  <w:shd w:val="clear" w:color="auto" w:fill="auto"/>
                  <w:vAlign w:val="bottom"/>
                  <w:hideMark/>
                </w:tcPr>
                <w:p w:rsidR="0049559A" w:rsidRPr="00A25358" w:rsidRDefault="0049559A" w:rsidP="0049559A">
                  <w:pPr>
                    <w:rPr>
                      <w:rFonts w:ascii="Calibri" w:hAnsi="Calibri" w:cs="Calibri"/>
                      <w:color w:val="000000"/>
                      <w:sz w:val="20"/>
                      <w:szCs w:val="20"/>
                    </w:rPr>
                  </w:pPr>
                  <w:r w:rsidRPr="00A25358">
                    <w:rPr>
                      <w:rFonts w:ascii="Calibri" w:hAnsi="Calibri" w:cs="Calibri"/>
                      <w:color w:val="000000"/>
                      <w:sz w:val="20"/>
                      <w:szCs w:val="20"/>
                    </w:rPr>
                    <w:t>Student Assistant</w:t>
                  </w:r>
                </w:p>
              </w:tc>
              <w:tc>
                <w:tcPr>
                  <w:tcW w:w="1210"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25.06</w:t>
                  </w:r>
                  <w:r w:rsidRPr="00A25358">
                    <w:rPr>
                      <w:rFonts w:ascii="Calibri" w:hAnsi="Calibri" w:cs="Calibri"/>
                      <w:color w:val="000000"/>
                      <w:sz w:val="20"/>
                      <w:szCs w:val="20"/>
                    </w:rPr>
                    <w:t>%</w:t>
                  </w:r>
                </w:p>
              </w:tc>
              <w:tc>
                <w:tcPr>
                  <w:tcW w:w="1465"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64.79</w:t>
                  </w:r>
                  <w:r w:rsidRPr="00A25358">
                    <w:rPr>
                      <w:rFonts w:ascii="Calibri" w:hAnsi="Calibri" w:cs="Calibri"/>
                      <w:color w:val="000000"/>
                      <w:sz w:val="20"/>
                      <w:szCs w:val="20"/>
                    </w:rPr>
                    <w:t>%</w:t>
                  </w:r>
                </w:p>
              </w:tc>
              <w:tc>
                <w:tcPr>
                  <w:tcW w:w="1348" w:type="dxa"/>
                  <w:shd w:val="clear" w:color="auto" w:fill="auto"/>
                  <w:noWrap/>
                  <w:vAlign w:val="bottom"/>
                  <w:hideMark/>
                </w:tcPr>
                <w:p w:rsidR="0049559A" w:rsidRPr="00A25358" w:rsidRDefault="0049559A" w:rsidP="0049559A">
                  <w:pPr>
                    <w:jc w:val="right"/>
                    <w:rPr>
                      <w:rFonts w:ascii="Calibri" w:hAnsi="Calibri" w:cs="Calibri"/>
                      <w:color w:val="000000"/>
                      <w:sz w:val="20"/>
                      <w:szCs w:val="20"/>
                    </w:rPr>
                  </w:pPr>
                  <w:r>
                    <w:rPr>
                      <w:rFonts w:ascii="Calibri" w:hAnsi="Calibri" w:cs="Calibri"/>
                      <w:color w:val="000000"/>
                      <w:sz w:val="20"/>
                      <w:szCs w:val="20"/>
                    </w:rPr>
                    <w:t>89.85</w:t>
                  </w:r>
                  <w:r w:rsidRPr="00A25358">
                    <w:rPr>
                      <w:rFonts w:ascii="Calibri" w:hAnsi="Calibri" w:cs="Calibri"/>
                      <w:color w:val="000000"/>
                      <w:sz w:val="20"/>
                      <w:szCs w:val="20"/>
                    </w:rPr>
                    <w:t>%</w:t>
                  </w:r>
                </w:p>
              </w:tc>
            </w:tr>
          </w:tbl>
          <w:p w:rsidR="0049559A" w:rsidRDefault="0049559A" w:rsidP="0049559A"/>
          <w:p w:rsidR="0049559A" w:rsidRDefault="0049559A" w:rsidP="0049559A">
            <w:r>
              <w:t>Consistent with previous years, the benchmark for confidence in confidentiality was met for My Counselor.  The improvement in scores for the Student Assistants is a reflection of the training and practice added.  The benchmark for confidence was met for the Secretary and Student Assistants.  The benchmark for “other counselors in the office” fell below the 90% benchmark for the first time.</w:t>
            </w:r>
          </w:p>
          <w:p w:rsidR="0049559A" w:rsidRDefault="0049559A" w:rsidP="0049559A"/>
          <w:p w:rsidR="0049559A" w:rsidRDefault="0049559A" w:rsidP="0049559A">
            <w:r>
              <w:t>For My Counselor, Secretary, and Student Assistant the mean score was 4 or higher.  For Other Counselors the mean was 3.80.  The median for all four staff categories was 5, and the mode for all four staff categories was 5.</w:t>
            </w:r>
          </w:p>
          <w:p w:rsidR="0049559A" w:rsidRDefault="0049559A" w:rsidP="0049559A">
            <w:r>
              <w:t>There exists no industry standard for this item, but Counseling and Consultation Services has collected these data for five consecutive years.  The 2011-2012 year is the first year where the data for students with Mandated Assessments has been removed:</w:t>
            </w:r>
          </w:p>
          <w:p w:rsidR="0049559A" w:rsidRDefault="0049559A" w:rsidP="0049559A"/>
          <w:tbl>
            <w:tblPr>
              <w:tblW w:w="5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338"/>
              <w:gridCol w:w="884"/>
              <w:gridCol w:w="884"/>
              <w:gridCol w:w="884"/>
              <w:gridCol w:w="884"/>
              <w:gridCol w:w="884"/>
            </w:tblGrid>
            <w:tr w:rsidR="0049559A" w:rsidRPr="003A6A74" w:rsidTr="0049559A">
              <w:trPr>
                <w:trHeight w:val="308"/>
              </w:trPr>
              <w:tc>
                <w:tcPr>
                  <w:tcW w:w="5757" w:type="dxa"/>
                  <w:gridSpan w:val="6"/>
                  <w:shd w:val="clear" w:color="auto" w:fill="auto"/>
                  <w:noWrap/>
                  <w:vAlign w:val="bottom"/>
                  <w:hideMark/>
                </w:tcPr>
                <w:p w:rsidR="0049559A" w:rsidRPr="003A6A74" w:rsidRDefault="0049559A" w:rsidP="0049559A">
                  <w:pPr>
                    <w:jc w:val="center"/>
                    <w:rPr>
                      <w:rFonts w:ascii="Calibri" w:hAnsi="Calibri" w:cs="Calibri"/>
                      <w:color w:val="000000"/>
                      <w:sz w:val="20"/>
                      <w:szCs w:val="20"/>
                    </w:rPr>
                  </w:pPr>
                  <w:r w:rsidRPr="003A6A74">
                    <w:rPr>
                      <w:rFonts w:ascii="Calibri" w:hAnsi="Calibri" w:cs="Calibri"/>
                      <w:color w:val="000000"/>
                      <w:sz w:val="20"/>
                      <w:szCs w:val="20"/>
                    </w:rPr>
                    <w:lastRenderedPageBreak/>
                    <w:t>Five Year Trend: Confidence in Confidentiality:</w:t>
                  </w:r>
                </w:p>
              </w:tc>
            </w:tr>
            <w:tr w:rsidR="0049559A" w:rsidRPr="003A6A74" w:rsidTr="0049559A">
              <w:trPr>
                <w:trHeight w:val="538"/>
              </w:trPr>
              <w:tc>
                <w:tcPr>
                  <w:tcW w:w="1338" w:type="dxa"/>
                  <w:shd w:val="clear" w:color="auto" w:fill="auto"/>
                  <w:noWrap/>
                  <w:vAlign w:val="bottom"/>
                  <w:hideMark/>
                </w:tcPr>
                <w:p w:rsidR="0049559A" w:rsidRPr="003A6A74" w:rsidRDefault="0049559A" w:rsidP="0049559A">
                  <w:pPr>
                    <w:jc w:val="center"/>
                    <w:rPr>
                      <w:rFonts w:ascii="Calibri" w:hAnsi="Calibri" w:cs="Calibri"/>
                      <w:color w:val="000000"/>
                      <w:sz w:val="20"/>
                      <w:szCs w:val="20"/>
                    </w:rPr>
                  </w:pPr>
                  <w:r w:rsidRPr="003A6A74">
                    <w:rPr>
                      <w:rFonts w:ascii="Calibri" w:hAnsi="Calibri" w:cs="Calibri"/>
                      <w:color w:val="000000"/>
                      <w:sz w:val="20"/>
                      <w:szCs w:val="20"/>
                    </w:rPr>
                    <w:t> </w:t>
                  </w:r>
                </w:p>
              </w:tc>
              <w:tc>
                <w:tcPr>
                  <w:tcW w:w="884" w:type="dxa"/>
                  <w:shd w:val="clear" w:color="auto" w:fill="auto"/>
                  <w:vAlign w:val="bottom"/>
                  <w:hideMark/>
                </w:tcPr>
                <w:p w:rsidR="0049559A" w:rsidRPr="003A6A74" w:rsidRDefault="0049559A" w:rsidP="0049559A">
                  <w:pPr>
                    <w:jc w:val="center"/>
                    <w:rPr>
                      <w:rFonts w:ascii="Calibri" w:hAnsi="Calibri" w:cs="Calibri"/>
                      <w:color w:val="000000"/>
                      <w:sz w:val="20"/>
                      <w:szCs w:val="20"/>
                    </w:rPr>
                  </w:pPr>
                  <w:r w:rsidRPr="003A6A74">
                    <w:rPr>
                      <w:rFonts w:ascii="Calibri" w:hAnsi="Calibri" w:cs="Calibri"/>
                      <w:color w:val="000000"/>
                      <w:sz w:val="20"/>
                      <w:szCs w:val="20"/>
                    </w:rPr>
                    <w:t>2007 to</w:t>
                  </w:r>
                  <w:r w:rsidRPr="003A6A74">
                    <w:rPr>
                      <w:rFonts w:ascii="Calibri" w:hAnsi="Calibri" w:cs="Calibri"/>
                      <w:color w:val="000000"/>
                      <w:sz w:val="20"/>
                      <w:szCs w:val="20"/>
                    </w:rPr>
                    <w:br/>
                    <w:t>2008</w:t>
                  </w:r>
                </w:p>
              </w:tc>
              <w:tc>
                <w:tcPr>
                  <w:tcW w:w="884" w:type="dxa"/>
                  <w:shd w:val="clear" w:color="auto" w:fill="auto"/>
                  <w:vAlign w:val="bottom"/>
                  <w:hideMark/>
                </w:tcPr>
                <w:p w:rsidR="0049559A" w:rsidRPr="003A6A74" w:rsidRDefault="0049559A" w:rsidP="0049559A">
                  <w:pPr>
                    <w:jc w:val="center"/>
                    <w:rPr>
                      <w:rFonts w:ascii="Calibri" w:hAnsi="Calibri" w:cs="Calibri"/>
                      <w:color w:val="000000"/>
                      <w:sz w:val="20"/>
                      <w:szCs w:val="20"/>
                    </w:rPr>
                  </w:pPr>
                  <w:r w:rsidRPr="003A6A74">
                    <w:rPr>
                      <w:rFonts w:ascii="Calibri" w:hAnsi="Calibri" w:cs="Calibri"/>
                      <w:color w:val="000000"/>
                      <w:sz w:val="20"/>
                      <w:szCs w:val="20"/>
                    </w:rPr>
                    <w:t>2008 to</w:t>
                  </w:r>
                  <w:r w:rsidRPr="003A6A74">
                    <w:rPr>
                      <w:rFonts w:ascii="Calibri" w:hAnsi="Calibri" w:cs="Calibri"/>
                      <w:color w:val="000000"/>
                      <w:sz w:val="20"/>
                      <w:szCs w:val="20"/>
                    </w:rPr>
                    <w:br/>
                    <w:t>2009</w:t>
                  </w:r>
                </w:p>
              </w:tc>
              <w:tc>
                <w:tcPr>
                  <w:tcW w:w="884" w:type="dxa"/>
                  <w:shd w:val="clear" w:color="auto" w:fill="auto"/>
                  <w:vAlign w:val="bottom"/>
                  <w:hideMark/>
                </w:tcPr>
                <w:p w:rsidR="0049559A" w:rsidRPr="003A6A74" w:rsidRDefault="0049559A" w:rsidP="0049559A">
                  <w:pPr>
                    <w:jc w:val="center"/>
                    <w:rPr>
                      <w:rFonts w:ascii="Calibri" w:hAnsi="Calibri" w:cs="Calibri"/>
                      <w:color w:val="000000"/>
                      <w:sz w:val="20"/>
                      <w:szCs w:val="20"/>
                    </w:rPr>
                  </w:pPr>
                  <w:r w:rsidRPr="003A6A74">
                    <w:rPr>
                      <w:rFonts w:ascii="Calibri" w:hAnsi="Calibri" w:cs="Calibri"/>
                      <w:color w:val="000000"/>
                      <w:sz w:val="20"/>
                      <w:szCs w:val="20"/>
                    </w:rPr>
                    <w:t>2009 to</w:t>
                  </w:r>
                  <w:r w:rsidRPr="003A6A74">
                    <w:rPr>
                      <w:rFonts w:ascii="Calibri" w:hAnsi="Calibri" w:cs="Calibri"/>
                      <w:color w:val="000000"/>
                      <w:sz w:val="20"/>
                      <w:szCs w:val="20"/>
                    </w:rPr>
                    <w:br/>
                    <w:t>2010</w:t>
                  </w:r>
                </w:p>
              </w:tc>
              <w:tc>
                <w:tcPr>
                  <w:tcW w:w="884" w:type="dxa"/>
                  <w:shd w:val="clear" w:color="auto" w:fill="auto"/>
                  <w:vAlign w:val="bottom"/>
                  <w:hideMark/>
                </w:tcPr>
                <w:p w:rsidR="0049559A" w:rsidRPr="003A6A74" w:rsidRDefault="0049559A" w:rsidP="0049559A">
                  <w:pPr>
                    <w:jc w:val="center"/>
                    <w:rPr>
                      <w:rFonts w:ascii="Calibri" w:hAnsi="Calibri" w:cs="Calibri"/>
                      <w:color w:val="000000"/>
                      <w:sz w:val="20"/>
                      <w:szCs w:val="20"/>
                    </w:rPr>
                  </w:pPr>
                  <w:r w:rsidRPr="003A6A74">
                    <w:rPr>
                      <w:rFonts w:ascii="Calibri" w:hAnsi="Calibri" w:cs="Calibri"/>
                      <w:color w:val="000000"/>
                      <w:sz w:val="20"/>
                      <w:szCs w:val="20"/>
                    </w:rPr>
                    <w:t>2010 to</w:t>
                  </w:r>
                  <w:r w:rsidRPr="003A6A74">
                    <w:rPr>
                      <w:rFonts w:ascii="Calibri" w:hAnsi="Calibri" w:cs="Calibri"/>
                      <w:color w:val="000000"/>
                      <w:sz w:val="20"/>
                      <w:szCs w:val="20"/>
                    </w:rPr>
                    <w:br/>
                    <w:t>2011</w:t>
                  </w:r>
                </w:p>
              </w:tc>
              <w:tc>
                <w:tcPr>
                  <w:tcW w:w="884" w:type="dxa"/>
                  <w:shd w:val="clear" w:color="auto" w:fill="auto"/>
                  <w:vAlign w:val="bottom"/>
                  <w:hideMark/>
                </w:tcPr>
                <w:p w:rsidR="0049559A" w:rsidRPr="003A6A74" w:rsidRDefault="0049559A" w:rsidP="0049559A">
                  <w:pPr>
                    <w:rPr>
                      <w:rFonts w:ascii="Calibri" w:hAnsi="Calibri" w:cs="Calibri"/>
                      <w:color w:val="000000"/>
                      <w:sz w:val="20"/>
                      <w:szCs w:val="20"/>
                    </w:rPr>
                  </w:pPr>
                  <w:r w:rsidRPr="003A6A74">
                    <w:rPr>
                      <w:rFonts w:ascii="Calibri" w:hAnsi="Calibri" w:cs="Calibri"/>
                      <w:color w:val="000000"/>
                      <w:sz w:val="20"/>
                      <w:szCs w:val="20"/>
                    </w:rPr>
                    <w:t xml:space="preserve">2011 to </w:t>
                  </w:r>
                  <w:r w:rsidRPr="003A6A74">
                    <w:rPr>
                      <w:rFonts w:ascii="Calibri" w:hAnsi="Calibri" w:cs="Calibri"/>
                      <w:color w:val="000000"/>
                      <w:sz w:val="20"/>
                      <w:szCs w:val="20"/>
                    </w:rPr>
                    <w:br/>
                    <w:t>2012</w:t>
                  </w:r>
                </w:p>
              </w:tc>
            </w:tr>
            <w:tr w:rsidR="0049559A" w:rsidRPr="003A6A74" w:rsidTr="0049559A">
              <w:trPr>
                <w:trHeight w:val="538"/>
              </w:trPr>
              <w:tc>
                <w:tcPr>
                  <w:tcW w:w="1338" w:type="dxa"/>
                  <w:shd w:val="clear" w:color="auto" w:fill="auto"/>
                  <w:vAlign w:val="bottom"/>
                  <w:hideMark/>
                </w:tcPr>
                <w:p w:rsidR="0049559A" w:rsidRPr="003A6A74" w:rsidRDefault="0049559A" w:rsidP="0049559A">
                  <w:pPr>
                    <w:rPr>
                      <w:rFonts w:ascii="Calibri" w:hAnsi="Calibri" w:cs="Calibri"/>
                      <w:color w:val="000000"/>
                      <w:sz w:val="20"/>
                      <w:szCs w:val="20"/>
                    </w:rPr>
                  </w:pPr>
                  <w:r w:rsidRPr="003A6A74">
                    <w:rPr>
                      <w:rFonts w:ascii="Calibri" w:hAnsi="Calibri" w:cs="Calibri"/>
                      <w:color w:val="000000"/>
                      <w:sz w:val="20"/>
                      <w:szCs w:val="20"/>
                    </w:rPr>
                    <w:t>My Counselor</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95%</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95%</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96%</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96%</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96%</w:t>
                  </w:r>
                </w:p>
              </w:tc>
            </w:tr>
            <w:tr w:rsidR="0049559A" w:rsidRPr="003A6A74" w:rsidTr="0049559A">
              <w:trPr>
                <w:trHeight w:val="538"/>
              </w:trPr>
              <w:tc>
                <w:tcPr>
                  <w:tcW w:w="1338" w:type="dxa"/>
                  <w:shd w:val="clear" w:color="auto" w:fill="auto"/>
                  <w:vAlign w:val="bottom"/>
                  <w:hideMark/>
                </w:tcPr>
                <w:p w:rsidR="0049559A" w:rsidRPr="003A6A74" w:rsidRDefault="0049559A" w:rsidP="0049559A">
                  <w:pPr>
                    <w:rPr>
                      <w:rFonts w:ascii="Calibri" w:hAnsi="Calibri" w:cs="Calibri"/>
                      <w:color w:val="000000"/>
                      <w:sz w:val="20"/>
                      <w:szCs w:val="20"/>
                    </w:rPr>
                  </w:pPr>
                  <w:r w:rsidRPr="003A6A74">
                    <w:rPr>
                      <w:rFonts w:ascii="Calibri" w:hAnsi="Calibri" w:cs="Calibri"/>
                      <w:color w:val="000000"/>
                      <w:sz w:val="20"/>
                      <w:szCs w:val="20"/>
                    </w:rPr>
                    <w:t>Other Counselors</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92%</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91%</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90%</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91%</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87%</w:t>
                  </w:r>
                </w:p>
              </w:tc>
            </w:tr>
            <w:tr w:rsidR="0049559A" w:rsidRPr="003A6A74" w:rsidTr="0049559A">
              <w:trPr>
                <w:trHeight w:val="308"/>
              </w:trPr>
              <w:tc>
                <w:tcPr>
                  <w:tcW w:w="1338" w:type="dxa"/>
                  <w:shd w:val="clear" w:color="auto" w:fill="auto"/>
                  <w:noWrap/>
                  <w:vAlign w:val="bottom"/>
                  <w:hideMark/>
                </w:tcPr>
                <w:p w:rsidR="0049559A" w:rsidRPr="003A6A74" w:rsidRDefault="0049559A" w:rsidP="0049559A">
                  <w:pPr>
                    <w:rPr>
                      <w:rFonts w:ascii="Calibri" w:hAnsi="Calibri" w:cs="Calibri"/>
                      <w:color w:val="000000"/>
                      <w:sz w:val="20"/>
                      <w:szCs w:val="20"/>
                    </w:rPr>
                  </w:pPr>
                  <w:r w:rsidRPr="003A6A74">
                    <w:rPr>
                      <w:rFonts w:ascii="Calibri" w:hAnsi="Calibri" w:cs="Calibri"/>
                      <w:color w:val="000000"/>
                      <w:sz w:val="20"/>
                      <w:szCs w:val="20"/>
                    </w:rPr>
                    <w:t>Secretary</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91%</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88%</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90%</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93%</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92%</w:t>
                  </w:r>
                </w:p>
              </w:tc>
            </w:tr>
            <w:tr w:rsidR="0049559A" w:rsidRPr="003A6A74" w:rsidTr="0049559A">
              <w:trPr>
                <w:trHeight w:val="538"/>
              </w:trPr>
              <w:tc>
                <w:tcPr>
                  <w:tcW w:w="1338" w:type="dxa"/>
                  <w:shd w:val="clear" w:color="auto" w:fill="auto"/>
                  <w:vAlign w:val="bottom"/>
                  <w:hideMark/>
                </w:tcPr>
                <w:p w:rsidR="0049559A" w:rsidRPr="003A6A74" w:rsidRDefault="0049559A" w:rsidP="0049559A">
                  <w:pPr>
                    <w:rPr>
                      <w:rFonts w:ascii="Calibri" w:hAnsi="Calibri" w:cs="Calibri"/>
                      <w:color w:val="000000"/>
                      <w:sz w:val="20"/>
                      <w:szCs w:val="20"/>
                    </w:rPr>
                  </w:pPr>
                  <w:r w:rsidRPr="003A6A74">
                    <w:rPr>
                      <w:rFonts w:ascii="Calibri" w:hAnsi="Calibri" w:cs="Calibri"/>
                      <w:color w:val="000000"/>
                      <w:sz w:val="20"/>
                      <w:szCs w:val="20"/>
                    </w:rPr>
                    <w:t>Student Assistants</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85%</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85%</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84%</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89%</w:t>
                  </w:r>
                </w:p>
              </w:tc>
              <w:tc>
                <w:tcPr>
                  <w:tcW w:w="884" w:type="dxa"/>
                  <w:shd w:val="clear" w:color="auto" w:fill="auto"/>
                  <w:noWrap/>
                  <w:vAlign w:val="bottom"/>
                  <w:hideMark/>
                </w:tcPr>
                <w:p w:rsidR="0049559A" w:rsidRPr="003A6A74" w:rsidRDefault="0049559A" w:rsidP="0049559A">
                  <w:pPr>
                    <w:jc w:val="right"/>
                    <w:rPr>
                      <w:rFonts w:ascii="Calibri" w:hAnsi="Calibri" w:cs="Calibri"/>
                      <w:color w:val="000000"/>
                      <w:sz w:val="20"/>
                      <w:szCs w:val="20"/>
                    </w:rPr>
                  </w:pPr>
                  <w:r w:rsidRPr="003A6A74">
                    <w:rPr>
                      <w:rFonts w:ascii="Calibri" w:hAnsi="Calibri" w:cs="Calibri"/>
                      <w:color w:val="000000"/>
                      <w:sz w:val="20"/>
                      <w:szCs w:val="20"/>
                    </w:rPr>
                    <w:t>90%</w:t>
                  </w:r>
                </w:p>
              </w:tc>
            </w:tr>
          </w:tbl>
          <w:p w:rsidR="0049559A" w:rsidRDefault="0049559A" w:rsidP="0049559A"/>
          <w:p w:rsidR="007C53D1" w:rsidRDefault="007C53D1" w:rsidP="00972106">
            <w:pPr>
              <w:rPr>
                <w:rFonts w:ascii="Arial Narrow" w:hAnsi="Arial Narrow"/>
              </w:rPr>
            </w:pPr>
          </w:p>
          <w:p w:rsidR="0049559A" w:rsidRDefault="0049559A" w:rsidP="00972106">
            <w:pPr>
              <w:rPr>
                <w:rFonts w:ascii="Arial Narrow" w:hAnsi="Arial Narrow"/>
              </w:rPr>
            </w:pPr>
            <w:r w:rsidRPr="0049559A">
              <w:rPr>
                <w:rFonts w:ascii="Arial Narrow" w:hAnsi="Arial Narrow"/>
                <w:noProof/>
              </w:rPr>
              <w:drawing>
                <wp:inline distT="0" distB="0" distL="0" distR="0">
                  <wp:extent cx="3638550" cy="2781300"/>
                  <wp:effectExtent l="38100" t="19050" r="38100" b="1905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Default="0049559A" w:rsidP="00972106">
            <w:pPr>
              <w:rPr>
                <w:rFonts w:ascii="Arial Narrow" w:hAnsi="Arial Narrow"/>
              </w:rPr>
            </w:pPr>
          </w:p>
          <w:p w:rsidR="0049559A" w:rsidRPr="009860CD" w:rsidRDefault="0049559A"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49559A" w:rsidRDefault="0049559A" w:rsidP="0049559A">
            <w:r>
              <w:t>Confidentiality is the operational, legal, and ethical underpinning of Counseling and Consultation Services.  The client’s perception of this confidentialit</w:t>
            </w:r>
            <w:r w:rsidR="004367B9">
              <w:t>y is essential to CCS practice, and essential to the student coming for services.  CCS outcome data show that completing counseling directly impacts student well being</w:t>
            </w:r>
            <w:r w:rsidR="00A10B8F">
              <w:t>, retention,</w:t>
            </w:r>
            <w:r w:rsidR="004367B9">
              <w:t xml:space="preserve"> and success at student life.</w:t>
            </w:r>
          </w:p>
          <w:p w:rsidR="0049559A" w:rsidRDefault="0049559A" w:rsidP="0049559A"/>
          <w:p w:rsidR="0049559A" w:rsidRDefault="0049559A" w:rsidP="0049559A">
            <w:r>
              <w:t>The Student Assistants received additional training on office practices conducive to client perception that files and information are kept confidential at all times.  This training will be maintained and enhanced.  Student assistants answer the phone and schedule appointments.  As a result they do have limited access to confidential information e.g. names.</w:t>
            </w:r>
          </w:p>
          <w:p w:rsidR="0049559A" w:rsidRDefault="0049559A" w:rsidP="0049559A"/>
          <w:p w:rsidR="0049559A" w:rsidRDefault="0049559A" w:rsidP="0049559A">
            <w:r>
              <w:t xml:space="preserve">The 90% benchmark level of confidence in Student Assistants is an exceptional standard to achieve.  This standard was met when the data were rounded up, as was done in previous years. </w:t>
            </w:r>
          </w:p>
          <w:p w:rsidR="0049559A" w:rsidRDefault="0049559A" w:rsidP="0049559A"/>
          <w:p w:rsidR="0049559A" w:rsidRDefault="0049559A" w:rsidP="0049559A">
            <w:r>
              <w:t>The Secretary rating met the 90% benchmark.  Consistent with the previous four years, student’s confidence in the confidentiality of their own counselor was high and met the standard.</w:t>
            </w:r>
          </w:p>
          <w:p w:rsidR="0049559A" w:rsidRDefault="0049559A" w:rsidP="0049559A"/>
          <w:p w:rsidR="0049559A" w:rsidRDefault="0049559A" w:rsidP="0049559A">
            <w:r>
              <w:t>For the first time in five years the rating for</w:t>
            </w:r>
            <w:r w:rsidR="00A10B8F">
              <w:t xml:space="preserve"> Other Counselors </w:t>
            </w:r>
            <w:r>
              <w:t>did not meet the standard.  The meaning of this is unclear. Over the course of their years at NMU students may work with more than one counselor.  Also, Mandated Assessments are always conducted by a counselor who is not already working with the student receiving services.</w:t>
            </w:r>
          </w:p>
          <w:p w:rsidR="0049559A" w:rsidRDefault="0049559A" w:rsidP="0049559A">
            <w:r>
              <w:lastRenderedPageBreak/>
              <w:t xml:space="preserve">Even so, many students may know nothing at all about the other counselors in the office.  </w:t>
            </w:r>
          </w:p>
          <w:p w:rsidR="0049559A" w:rsidRDefault="0049559A" w:rsidP="0049559A"/>
          <w:p w:rsidR="0049559A" w:rsidRDefault="0049559A" w:rsidP="0049559A">
            <w:r>
              <w:t>There appears to be no consistent trends across counselors or across semesters for these data on Other Counselors.  There have been no changes in professional practices</w:t>
            </w:r>
            <w:r w:rsidR="00A10B8F">
              <w:t xml:space="preserve"> to account for this finding</w:t>
            </w:r>
            <w:r>
              <w:t>.  There appear to be no clear interventions</w:t>
            </w:r>
            <w:r w:rsidR="00A10B8F">
              <w:t xml:space="preserve"> or improvements</w:t>
            </w:r>
            <w:r>
              <w:t xml:space="preserve"> to make to impact this item.</w:t>
            </w:r>
          </w:p>
          <w:p w:rsidR="0049559A" w:rsidRDefault="0049559A" w:rsidP="0049559A"/>
          <w:p w:rsidR="0049559A" w:rsidRDefault="0049559A" w:rsidP="0049559A">
            <w:r>
              <w:t>Given this situation, this item has ceased to be useful or relevant for CCS clinical operations.  This part will be dropped from the feedback form for next year.</w:t>
            </w:r>
          </w:p>
          <w:p w:rsidR="0049559A" w:rsidRDefault="0049559A" w:rsidP="0049559A"/>
          <w:p w:rsidR="0049559A" w:rsidRDefault="0049559A" w:rsidP="0049559A">
            <w:r>
              <w:t xml:space="preserve"> CCS considers this objective critical to effective clinical operations.  This objective will be carried forward in the 2012 – 2013 </w:t>
            </w:r>
            <w:proofErr w:type="gramStart"/>
            <w:r>
              <w:t>plan</w:t>
            </w:r>
            <w:proofErr w:type="gramEnd"/>
            <w:r>
              <w:t>, without the “other counselors” component.</w:t>
            </w:r>
          </w:p>
          <w:p w:rsidR="007C53D1" w:rsidRPr="009860CD" w:rsidRDefault="007C53D1" w:rsidP="00972106">
            <w:pPr>
              <w:rPr>
                <w:rFonts w:ascii="Arial Narrow" w:hAnsi="Arial Narrow"/>
              </w:rPr>
            </w:pP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0"/>
        <w:gridCol w:w="274"/>
        <w:gridCol w:w="4952"/>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7C53D1" w:rsidRPr="009860CD" w:rsidRDefault="0049559A" w:rsidP="0036346B">
            <w:pPr>
              <w:rPr>
                <w:rFonts w:ascii="Arial Narrow" w:hAnsi="Arial Narrow"/>
              </w:rPr>
            </w:pPr>
            <w:r>
              <w:t xml:space="preserve">Replicate the 2010 – 2011 </w:t>
            </w:r>
            <w:proofErr w:type="gramStart"/>
            <w:r>
              <w:t>baseline</w:t>
            </w:r>
            <w:proofErr w:type="gramEnd"/>
            <w:r>
              <w:t xml:space="preserve"> for the proportion of clients who completed the outcome/evaluation form, to assure identified process maximizes the data obtainable from students receiving services.</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4367B9" w:rsidP="0036346B">
            <w:pPr>
              <w:rPr>
                <w:rFonts w:ascii="Arial Narrow" w:hAnsi="Arial Narrow"/>
              </w:rPr>
            </w:pPr>
            <w:r>
              <w:rPr>
                <w:rFonts w:ascii="Arial Narrow" w:hAnsi="Arial Narrow"/>
                <w:sz w:val="22"/>
                <w:szCs w:val="22"/>
                <w:u w:val="single"/>
              </w:rPr>
              <w:sym w:font="Wingdings" w:char="F078"/>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00E67E01">
              <w:rPr>
                <w:rFonts w:ascii="Arial Narrow" w:hAnsi="Arial Narrow"/>
                <w:sz w:val="22"/>
                <w:szCs w:val="22"/>
                <w:u w:val="single"/>
              </w:rPr>
              <w:sym w:font="Wingdings" w:char="F078"/>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lastRenderedPageBreak/>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Pr="009860CD" w:rsidRDefault="007C53D1" w:rsidP="0036346B">
            <w:pPr>
              <w:rPr>
                <w:rFonts w:ascii="Arial Narrow" w:hAnsi="Arial Narrow"/>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E7ACD" w:rsidRDefault="007E7ACD" w:rsidP="007E7ACD">
            <w:pPr>
              <w:pStyle w:val="ListParagraph"/>
              <w:numPr>
                <w:ilvl w:val="0"/>
                <w:numId w:val="1"/>
              </w:numPr>
              <w:spacing w:after="0" w:line="240" w:lineRule="auto"/>
            </w:pPr>
            <w:r>
              <w:t>Continue to maximize data collection by monitoring times of data collection, training faculty and staff, using software (Titanium) prompts, and reminding faculty.</w:t>
            </w:r>
          </w:p>
          <w:p w:rsidR="007E7ACD" w:rsidRDefault="007E7ACD" w:rsidP="007E7ACD">
            <w:pPr>
              <w:pStyle w:val="ListParagraph"/>
              <w:numPr>
                <w:ilvl w:val="0"/>
                <w:numId w:val="1"/>
              </w:numPr>
              <w:spacing w:after="0" w:line="240" w:lineRule="auto"/>
            </w:pPr>
            <w:r>
              <w:t>Repeat protocol for data analysis and compare results.</w:t>
            </w:r>
          </w:p>
          <w:p w:rsidR="0049559A" w:rsidRPr="007E7ACD" w:rsidRDefault="007E7ACD" w:rsidP="007E7ACD">
            <w:pPr>
              <w:pStyle w:val="ListParagraph"/>
              <w:numPr>
                <w:ilvl w:val="0"/>
                <w:numId w:val="1"/>
              </w:numPr>
              <w:spacing w:after="0" w:line="240" w:lineRule="auto"/>
            </w:pPr>
            <w:r>
              <w:t xml:space="preserve">Data collection results within </w:t>
            </w:r>
            <w:r w:rsidRPr="007E7ACD">
              <w:rPr>
                <w:rFonts w:cstheme="minorHAnsi"/>
              </w:rPr>
              <w:t>±</w:t>
            </w:r>
            <w:r>
              <w:t xml:space="preserve"> 2% of 2010 – 2011 levels are judged</w:t>
            </w:r>
            <w:r w:rsidR="00A10B8F">
              <w:t xml:space="preserve"> to constitute</w:t>
            </w:r>
            <w:r>
              <w:t xml:space="preserve"> a </w:t>
            </w:r>
            <w:r>
              <w:lastRenderedPageBreak/>
              <w:t>replicated standard for the proportion of outcome data collection from students, and no further refinements would be pursued.</w:t>
            </w:r>
          </w:p>
          <w:p w:rsidR="0049559A" w:rsidRDefault="0049559A" w:rsidP="0036346B">
            <w:pPr>
              <w:pStyle w:val="Default"/>
              <w:rPr>
                <w:rFonts w:ascii="Arial Narrow" w:hAnsi="Arial Narrow" w:cs="Arial"/>
                <w:sz w:val="22"/>
                <w:szCs w:val="22"/>
              </w:rPr>
            </w:pPr>
          </w:p>
          <w:p w:rsidR="0049559A" w:rsidRPr="009860CD" w:rsidRDefault="0049559A"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824F9B" w:rsidRPr="009860CD" w:rsidRDefault="00824F9B" w:rsidP="00824F9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A10B8F">
            <w:pPr>
              <w:spacing w:beforeLines="60"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A10B8F">
            <w:pPr>
              <w:spacing w:beforeLines="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A10B8F">
            <w:pPr>
              <w:spacing w:beforeLines="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E7ACD" w:rsidRDefault="007E7ACD" w:rsidP="007E7ACD">
            <w:r>
              <w:t>The objective was met.</w:t>
            </w:r>
          </w:p>
          <w:p w:rsidR="007E7ACD" w:rsidRDefault="007E7ACD" w:rsidP="007E7ACD"/>
          <w:p w:rsidR="007E7ACD" w:rsidRPr="008D0326" w:rsidRDefault="007E7ACD" w:rsidP="007E7ACD">
            <w:r>
              <w:t>The proportion of clients who completed the feedback/evaluation form (outcome data) in Fall 2011 semester was 66.32%.  In Winter 2012 semester this was 61.90%  Overall for academic year 2011 – 2012 the baseline for proportion of completion of the outcome information was  65.50%</w:t>
            </w:r>
          </w:p>
          <w:p w:rsidR="007E7ACD" w:rsidRDefault="007E7ACD" w:rsidP="007E7ACD"/>
          <w:p w:rsidR="007E7ACD" w:rsidRDefault="007E7ACD" w:rsidP="007E7ACD">
            <w:r>
              <w:t>The operational practices put into place appear to have been effective in maximizing the proportion of clients who provided the requisite outcome data.</w:t>
            </w:r>
          </w:p>
          <w:p w:rsidR="007E7ACD" w:rsidRDefault="007E7ACD" w:rsidP="007E7ACD"/>
          <w:p w:rsidR="007E7ACD" w:rsidRDefault="007E7ACD" w:rsidP="007E7ACD">
            <w:r>
              <w:t xml:space="preserve">“Proportion completing outcome data” results within </w:t>
            </w:r>
            <w:r>
              <w:rPr>
                <w:rFonts w:cstheme="minorHAnsi"/>
              </w:rPr>
              <w:t>±</w:t>
            </w:r>
            <w:r>
              <w:t xml:space="preserve"> 2% of the 2010 – 2011 levels (66.95% overall) were judged to constitute a reliable replication of the original baseline data.  This </w:t>
            </w:r>
            <w:r>
              <w:rPr>
                <w:rFonts w:cstheme="minorHAnsi"/>
              </w:rPr>
              <w:t>±</w:t>
            </w:r>
            <w:r>
              <w:t xml:space="preserve"> 2% (1.339%)</w:t>
            </w:r>
            <w:r w:rsidR="00D43815">
              <w:t xml:space="preserve"> </w:t>
            </w:r>
            <w:r>
              <w:t>range is 65.61% to 68.29% The actual results were 65.50%</w:t>
            </w:r>
            <w:r w:rsidR="00D43815">
              <w:t>.</w:t>
            </w:r>
          </w:p>
          <w:p w:rsidR="007E7ACD" w:rsidRDefault="007E7ACD" w:rsidP="007E7ACD">
            <w:pPr>
              <w:rPr>
                <w:u w:val="single"/>
              </w:rPr>
            </w:pPr>
          </w:p>
          <w:p w:rsidR="007E7ACD" w:rsidRDefault="007E7ACD" w:rsidP="007E7ACD">
            <w:r>
              <w:t>Students who drop out of counseling after only one or two sessions are not available to complete the feedback/outcome evaluation form.  They were not included in the 2010 – 2011 data, and they are not included in the 2011 – 2012 data.</w:t>
            </w:r>
          </w:p>
          <w:p w:rsidR="007C53D1" w:rsidRPr="009860CD" w:rsidRDefault="007C53D1" w:rsidP="0036346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E7ACD" w:rsidRDefault="00A10B8F" w:rsidP="007E7ACD">
            <w:r>
              <w:t>The reason CCS wished to replicate the baseline data was</w:t>
            </w:r>
            <w:r w:rsidR="007E7ACD">
              <w:t xml:space="preserve"> the need for assurance that the clients surveyed (providing outcome data) represent the population of clients as a whole.  As such, the larger the proportion of clients completing outcome data the better for reliability and validity of the information obtained</w:t>
            </w:r>
            <w:r w:rsidR="004367B9">
              <w:t xml:space="preserve"> and used for improvement planning and reporting of results.</w:t>
            </w:r>
            <w:r w:rsidR="007E7ACD">
              <w:t xml:space="preserve"> e.g. data for objective #1.</w:t>
            </w:r>
          </w:p>
          <w:p w:rsidR="007E7ACD" w:rsidRDefault="007E7ACD" w:rsidP="007E7ACD"/>
          <w:p w:rsidR="007E7ACD" w:rsidRDefault="007E7ACD" w:rsidP="007E7ACD">
            <w:r>
              <w:t>These 2011 – 2012 results indicate that no further refinements to the process are needed at this time.  This objective will not be carried forward into 2012 – 2013.</w:t>
            </w:r>
          </w:p>
          <w:p w:rsidR="007E7ACD" w:rsidRDefault="007E7ACD" w:rsidP="007E7ACD"/>
          <w:p w:rsidR="007E7ACD" w:rsidRDefault="007E7ACD" w:rsidP="007E7ACD">
            <w:r>
              <w:t xml:space="preserve">Each year </w:t>
            </w:r>
            <w:r w:rsidR="00A10B8F">
              <w:t xml:space="preserve">these </w:t>
            </w:r>
            <w:r>
              <w:t xml:space="preserve">data will be calculated and compared to the baseline. Should results fall significantly below expectations, corrective actions would be </w:t>
            </w:r>
            <w:proofErr w:type="gramStart"/>
            <w:r>
              <w:t>instituted.</w:t>
            </w:r>
            <w:proofErr w:type="gramEnd"/>
          </w:p>
          <w:p w:rsidR="007C53D1" w:rsidRPr="009860CD" w:rsidRDefault="007C53D1" w:rsidP="0036346B">
            <w:pPr>
              <w:rPr>
                <w:rFonts w:ascii="Arial Narrow" w:hAnsi="Arial Narrow"/>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E7ACD" w:rsidRDefault="007E7ACD" w:rsidP="00972106">
            <w:pPr>
              <w:rPr>
                <w:rFonts w:ascii="Arial Narrow" w:hAnsi="Arial Narrow"/>
              </w:rPr>
            </w:pPr>
          </w:p>
          <w:p w:rsidR="007E7ACD" w:rsidRDefault="007E7ACD" w:rsidP="007E7ACD">
            <w:r>
              <w:t>CCS faculty as a whole assess campus mental health needs, then create and present one scholarly workshop training program campus – wide to students/faculty/staff each semester, on a topic  judged to relate to a current campus mental health problem.  One topic per academic year will be a new program offering in accordance with identified NMU mental health issues.</w:t>
            </w:r>
          </w:p>
          <w:p w:rsidR="007E7ACD" w:rsidRPr="009860CD" w:rsidRDefault="007E7ACD" w:rsidP="00972106">
            <w:pPr>
              <w:rPr>
                <w:rFonts w:ascii="Arial Narrow" w:hAnsi="Arial Narrow"/>
              </w:rPr>
            </w:pP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Pr="009860CD">
              <w:rPr>
                <w:rFonts w:ascii="Arial Narrow" w:hAnsi="Arial Narrow"/>
                <w:sz w:val="22"/>
                <w:szCs w:val="22"/>
                <w:u w:val="single"/>
              </w:rPr>
              <w:sym w:font="Symbol" w:char="F092"/>
            </w:r>
            <w:r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Pr="009860CD" w:rsidRDefault="007C53D1" w:rsidP="00972106">
            <w:pPr>
              <w:rPr>
                <w:rFonts w:ascii="Arial Narrow" w:hAnsi="Arial Narrow"/>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Default="007C53D1" w:rsidP="00972106">
            <w:pPr>
              <w:pStyle w:val="Default"/>
              <w:rPr>
                <w:rFonts w:ascii="Arial Narrow" w:hAnsi="Arial Narrow" w:cs="Arial"/>
                <w:sz w:val="22"/>
                <w:szCs w:val="22"/>
              </w:rPr>
            </w:pPr>
          </w:p>
          <w:p w:rsidR="007E7ACD" w:rsidRDefault="007E7ACD" w:rsidP="007E7ACD">
            <w:pPr>
              <w:pStyle w:val="ListParagraph"/>
              <w:numPr>
                <w:ilvl w:val="0"/>
                <w:numId w:val="2"/>
              </w:numPr>
              <w:spacing w:after="0" w:line="240" w:lineRule="auto"/>
            </w:pPr>
            <w:r>
              <w:t xml:space="preserve">A minimum of one advertised program offered in </w:t>
            </w:r>
            <w:proofErr w:type="gramStart"/>
            <w:r>
              <w:t>Fall</w:t>
            </w:r>
            <w:proofErr w:type="gramEnd"/>
            <w:r>
              <w:t xml:space="preserve"> 2011.</w:t>
            </w:r>
          </w:p>
          <w:p w:rsidR="007E7ACD" w:rsidRDefault="007E7ACD" w:rsidP="007E7ACD">
            <w:pPr>
              <w:pStyle w:val="ListParagraph"/>
              <w:numPr>
                <w:ilvl w:val="0"/>
                <w:numId w:val="2"/>
              </w:numPr>
              <w:spacing w:after="0" w:line="240" w:lineRule="auto"/>
            </w:pPr>
            <w:r>
              <w:t xml:space="preserve">A minimum of one advertised program offered in </w:t>
            </w:r>
            <w:proofErr w:type="gramStart"/>
            <w:r>
              <w:t>Winter</w:t>
            </w:r>
            <w:proofErr w:type="gramEnd"/>
            <w:r>
              <w:t xml:space="preserve"> 2012.</w:t>
            </w:r>
          </w:p>
          <w:p w:rsidR="007E7ACD" w:rsidRDefault="007E7ACD" w:rsidP="007E7ACD">
            <w:pPr>
              <w:pStyle w:val="ListParagraph"/>
              <w:numPr>
                <w:ilvl w:val="0"/>
                <w:numId w:val="2"/>
              </w:numPr>
              <w:spacing w:after="0" w:line="240" w:lineRule="auto"/>
            </w:pPr>
            <w:r>
              <w:t>One of these offered workshops in 2011 – 2012 is about a new topic (offering) based on recent research and clinical interventions.</w:t>
            </w:r>
          </w:p>
          <w:p w:rsidR="007E7ACD" w:rsidRDefault="007E7ACD" w:rsidP="00972106">
            <w:pPr>
              <w:pStyle w:val="Default"/>
              <w:rPr>
                <w:rFonts w:ascii="Arial Narrow" w:hAnsi="Arial Narrow" w:cs="Arial"/>
                <w:sz w:val="22"/>
                <w:szCs w:val="22"/>
              </w:rPr>
            </w:pPr>
          </w:p>
          <w:p w:rsidR="007E7ACD" w:rsidRPr="009860CD" w:rsidRDefault="007E7ACD"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E7ACD" w:rsidRDefault="007E7ACD" w:rsidP="007E7ACD">
            <w:r>
              <w:t>The objective was not met:</w:t>
            </w:r>
          </w:p>
          <w:p w:rsidR="007E7ACD" w:rsidRDefault="007E7ACD" w:rsidP="007E7ACD">
            <w:pPr>
              <w:pStyle w:val="ListParagraph"/>
              <w:numPr>
                <w:ilvl w:val="0"/>
                <w:numId w:val="3"/>
              </w:numPr>
              <w:spacing w:after="0" w:line="240" w:lineRule="auto"/>
            </w:pPr>
            <w:r>
              <w:t xml:space="preserve">No workshop was presented in </w:t>
            </w:r>
            <w:proofErr w:type="gramStart"/>
            <w:r>
              <w:t>Fall</w:t>
            </w:r>
            <w:proofErr w:type="gramEnd"/>
            <w:r>
              <w:t xml:space="preserve"> semester.  </w:t>
            </w:r>
          </w:p>
          <w:p w:rsidR="007E7ACD" w:rsidRDefault="007E7ACD" w:rsidP="007E7ACD">
            <w:pPr>
              <w:pStyle w:val="ListParagraph"/>
              <w:numPr>
                <w:ilvl w:val="0"/>
                <w:numId w:val="3"/>
              </w:numPr>
              <w:spacing w:after="0" w:line="240" w:lineRule="auto"/>
            </w:pPr>
            <w:r>
              <w:t xml:space="preserve">One Suicide Awareness and Prevention workshop was conducted in </w:t>
            </w:r>
            <w:proofErr w:type="gramStart"/>
            <w:r>
              <w:t>Winter</w:t>
            </w:r>
            <w:proofErr w:type="gramEnd"/>
            <w:r>
              <w:t xml:space="preserve"> semester.</w:t>
            </w:r>
          </w:p>
          <w:p w:rsidR="007E7ACD" w:rsidRDefault="007E7ACD" w:rsidP="007E7ACD">
            <w:pPr>
              <w:pStyle w:val="ListParagraph"/>
              <w:numPr>
                <w:ilvl w:val="0"/>
                <w:numId w:val="3"/>
              </w:numPr>
              <w:spacing w:after="0" w:line="240" w:lineRule="auto"/>
            </w:pPr>
            <w:r>
              <w:t>No workshop was created or presented about a new topic of relevance to the NMU community.</w:t>
            </w:r>
          </w:p>
          <w:p w:rsidR="007E7ACD" w:rsidRDefault="007E7ACD" w:rsidP="007E7ACD"/>
          <w:p w:rsidR="007E7ACD" w:rsidRDefault="007E7ACD" w:rsidP="007E7ACD">
            <w:r>
              <w:t>The workshop that was conducted received excellent ratings from attendees.  The percentage of participants reporting “very good” or “excellent” on the evaluation were:</w:t>
            </w:r>
          </w:p>
          <w:p w:rsidR="007E7ACD" w:rsidRDefault="007E7ACD" w:rsidP="007E7ACD"/>
          <w:tbl>
            <w:tblPr>
              <w:tblW w:w="546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464"/>
              <w:gridCol w:w="1102"/>
              <w:gridCol w:w="991"/>
              <w:gridCol w:w="1112"/>
              <w:gridCol w:w="792"/>
            </w:tblGrid>
            <w:tr w:rsidR="007E7ACD" w:rsidRPr="005339AD" w:rsidTr="004367B9">
              <w:trPr>
                <w:trHeight w:val="431"/>
              </w:trPr>
              <w:tc>
                <w:tcPr>
                  <w:tcW w:w="1464" w:type="dxa"/>
                  <w:shd w:val="clear" w:color="auto" w:fill="auto"/>
                  <w:noWrap/>
                  <w:vAlign w:val="bottom"/>
                  <w:hideMark/>
                </w:tcPr>
                <w:p w:rsidR="007E7ACD" w:rsidRPr="005339AD" w:rsidRDefault="007E7ACD" w:rsidP="000617CF">
                  <w:pPr>
                    <w:jc w:val="center"/>
                    <w:rPr>
                      <w:rFonts w:ascii="Calibri" w:hAnsi="Calibri" w:cs="Calibri"/>
                      <w:b/>
                      <w:bCs/>
                      <w:color w:val="000000"/>
                      <w:sz w:val="18"/>
                      <w:szCs w:val="18"/>
                    </w:rPr>
                  </w:pPr>
                  <w:r w:rsidRPr="005339AD">
                    <w:rPr>
                      <w:rFonts w:ascii="Calibri" w:hAnsi="Calibri" w:cs="Calibri"/>
                      <w:b/>
                      <w:bCs/>
                      <w:color w:val="000000"/>
                      <w:sz w:val="18"/>
                      <w:szCs w:val="18"/>
                    </w:rPr>
                    <w:t>Date</w:t>
                  </w:r>
                </w:p>
              </w:tc>
              <w:tc>
                <w:tcPr>
                  <w:tcW w:w="1102" w:type="dxa"/>
                  <w:shd w:val="clear" w:color="auto" w:fill="auto"/>
                  <w:vAlign w:val="bottom"/>
                  <w:hideMark/>
                </w:tcPr>
                <w:p w:rsidR="007E7ACD" w:rsidRPr="005339AD" w:rsidRDefault="007E7ACD" w:rsidP="000617CF">
                  <w:pPr>
                    <w:jc w:val="center"/>
                    <w:rPr>
                      <w:rFonts w:ascii="Calibri" w:hAnsi="Calibri" w:cs="Calibri"/>
                      <w:b/>
                      <w:bCs/>
                      <w:color w:val="000000"/>
                      <w:sz w:val="18"/>
                      <w:szCs w:val="18"/>
                    </w:rPr>
                  </w:pPr>
                  <w:r w:rsidRPr="005339AD">
                    <w:rPr>
                      <w:rFonts w:ascii="Calibri" w:hAnsi="Calibri" w:cs="Calibri"/>
                      <w:b/>
                      <w:bCs/>
                      <w:color w:val="000000"/>
                      <w:sz w:val="18"/>
                      <w:szCs w:val="18"/>
                    </w:rPr>
                    <w:t>Attendance</w:t>
                  </w:r>
                </w:p>
              </w:tc>
              <w:tc>
                <w:tcPr>
                  <w:tcW w:w="991" w:type="dxa"/>
                  <w:shd w:val="clear" w:color="auto" w:fill="auto"/>
                  <w:vAlign w:val="bottom"/>
                  <w:hideMark/>
                </w:tcPr>
                <w:p w:rsidR="007E7ACD" w:rsidRPr="005339AD" w:rsidRDefault="007E7ACD" w:rsidP="000617CF">
                  <w:pPr>
                    <w:jc w:val="center"/>
                    <w:rPr>
                      <w:rFonts w:ascii="Calibri" w:hAnsi="Calibri" w:cs="Calibri"/>
                      <w:b/>
                      <w:bCs/>
                      <w:color w:val="000000"/>
                      <w:sz w:val="18"/>
                      <w:szCs w:val="18"/>
                    </w:rPr>
                  </w:pPr>
                  <w:r w:rsidRPr="005339AD">
                    <w:rPr>
                      <w:rFonts w:ascii="Calibri" w:hAnsi="Calibri" w:cs="Calibri"/>
                      <w:b/>
                      <w:bCs/>
                      <w:color w:val="000000"/>
                      <w:sz w:val="18"/>
                      <w:szCs w:val="18"/>
                    </w:rPr>
                    <w:t>Organized</w:t>
                  </w:r>
                </w:p>
              </w:tc>
              <w:tc>
                <w:tcPr>
                  <w:tcW w:w="1112" w:type="dxa"/>
                  <w:shd w:val="clear" w:color="auto" w:fill="auto"/>
                  <w:vAlign w:val="bottom"/>
                  <w:hideMark/>
                </w:tcPr>
                <w:p w:rsidR="007E7ACD" w:rsidRPr="005339AD" w:rsidRDefault="007E7ACD" w:rsidP="000617CF">
                  <w:pPr>
                    <w:jc w:val="center"/>
                    <w:rPr>
                      <w:rFonts w:ascii="Calibri" w:hAnsi="Calibri" w:cs="Calibri"/>
                      <w:b/>
                      <w:bCs/>
                      <w:color w:val="000000"/>
                      <w:sz w:val="18"/>
                      <w:szCs w:val="18"/>
                    </w:rPr>
                  </w:pPr>
                  <w:r w:rsidRPr="005339AD">
                    <w:rPr>
                      <w:rFonts w:ascii="Calibri" w:hAnsi="Calibri" w:cs="Calibri"/>
                      <w:b/>
                      <w:bCs/>
                      <w:color w:val="000000"/>
                      <w:sz w:val="18"/>
                      <w:szCs w:val="18"/>
                    </w:rPr>
                    <w:t>Informative</w:t>
                  </w:r>
                </w:p>
              </w:tc>
              <w:tc>
                <w:tcPr>
                  <w:tcW w:w="792" w:type="dxa"/>
                  <w:shd w:val="clear" w:color="auto" w:fill="auto"/>
                  <w:vAlign w:val="bottom"/>
                  <w:hideMark/>
                </w:tcPr>
                <w:p w:rsidR="007E7ACD" w:rsidRPr="005339AD" w:rsidRDefault="007E7ACD" w:rsidP="000617CF">
                  <w:pPr>
                    <w:jc w:val="center"/>
                    <w:rPr>
                      <w:rFonts w:ascii="Calibri" w:hAnsi="Calibri" w:cs="Calibri"/>
                      <w:b/>
                      <w:bCs/>
                      <w:color w:val="000000"/>
                      <w:sz w:val="18"/>
                      <w:szCs w:val="18"/>
                    </w:rPr>
                  </w:pPr>
                  <w:r w:rsidRPr="005339AD">
                    <w:rPr>
                      <w:rFonts w:ascii="Calibri" w:hAnsi="Calibri" w:cs="Calibri"/>
                      <w:b/>
                      <w:bCs/>
                      <w:color w:val="000000"/>
                      <w:sz w:val="18"/>
                      <w:szCs w:val="18"/>
                    </w:rPr>
                    <w:t>Useful</w:t>
                  </w:r>
                </w:p>
              </w:tc>
            </w:tr>
            <w:tr w:rsidR="007E7ACD" w:rsidRPr="005339AD" w:rsidTr="004367B9">
              <w:trPr>
                <w:trHeight w:val="431"/>
              </w:trPr>
              <w:tc>
                <w:tcPr>
                  <w:tcW w:w="1464" w:type="dxa"/>
                  <w:shd w:val="clear" w:color="auto" w:fill="auto"/>
                  <w:vAlign w:val="bottom"/>
                  <w:hideMark/>
                </w:tcPr>
                <w:p w:rsidR="007E7ACD" w:rsidRPr="005339AD" w:rsidRDefault="007E7ACD" w:rsidP="000617CF">
                  <w:pPr>
                    <w:jc w:val="center"/>
                    <w:rPr>
                      <w:rFonts w:ascii="Calibri" w:hAnsi="Calibri" w:cs="Calibri"/>
                      <w:b/>
                      <w:bCs/>
                      <w:color w:val="000000"/>
                      <w:sz w:val="18"/>
                      <w:szCs w:val="18"/>
                    </w:rPr>
                  </w:pPr>
                  <w:r w:rsidRPr="005339AD">
                    <w:rPr>
                      <w:rFonts w:ascii="Calibri" w:hAnsi="Calibri" w:cs="Calibri"/>
                      <w:b/>
                      <w:bCs/>
                      <w:color w:val="000000"/>
                      <w:sz w:val="18"/>
                      <w:szCs w:val="18"/>
                    </w:rPr>
                    <w:t>2/16/2012</w:t>
                  </w:r>
                </w:p>
              </w:tc>
              <w:tc>
                <w:tcPr>
                  <w:tcW w:w="1102" w:type="dxa"/>
                  <w:shd w:val="clear" w:color="auto" w:fill="auto"/>
                  <w:noWrap/>
                  <w:vAlign w:val="bottom"/>
                  <w:hideMark/>
                </w:tcPr>
                <w:p w:rsidR="007E7ACD" w:rsidRPr="005339AD" w:rsidRDefault="007E7ACD" w:rsidP="000617CF">
                  <w:pPr>
                    <w:jc w:val="center"/>
                    <w:rPr>
                      <w:rFonts w:ascii="Calibri" w:hAnsi="Calibri" w:cs="Calibri"/>
                      <w:color w:val="000000"/>
                      <w:sz w:val="18"/>
                      <w:szCs w:val="18"/>
                    </w:rPr>
                  </w:pPr>
                  <w:r w:rsidRPr="005339AD">
                    <w:rPr>
                      <w:rFonts w:ascii="Calibri" w:hAnsi="Calibri" w:cs="Calibri"/>
                      <w:color w:val="000000"/>
                      <w:sz w:val="18"/>
                      <w:szCs w:val="18"/>
                    </w:rPr>
                    <w:t>12</w:t>
                  </w:r>
                </w:p>
              </w:tc>
              <w:tc>
                <w:tcPr>
                  <w:tcW w:w="991" w:type="dxa"/>
                  <w:shd w:val="clear" w:color="auto" w:fill="auto"/>
                  <w:noWrap/>
                  <w:vAlign w:val="bottom"/>
                  <w:hideMark/>
                </w:tcPr>
                <w:p w:rsidR="007E7ACD" w:rsidRPr="005339AD" w:rsidRDefault="007E7ACD" w:rsidP="000617CF">
                  <w:pPr>
                    <w:jc w:val="center"/>
                    <w:rPr>
                      <w:rFonts w:ascii="Calibri" w:hAnsi="Calibri" w:cs="Calibri"/>
                      <w:color w:val="000000"/>
                      <w:sz w:val="18"/>
                      <w:szCs w:val="18"/>
                    </w:rPr>
                  </w:pPr>
                  <w:r w:rsidRPr="005339AD">
                    <w:rPr>
                      <w:rFonts w:ascii="Calibri" w:hAnsi="Calibri" w:cs="Calibri"/>
                      <w:color w:val="000000"/>
                      <w:sz w:val="18"/>
                      <w:szCs w:val="18"/>
                    </w:rPr>
                    <w:t>100%</w:t>
                  </w:r>
                </w:p>
              </w:tc>
              <w:tc>
                <w:tcPr>
                  <w:tcW w:w="1112" w:type="dxa"/>
                  <w:shd w:val="clear" w:color="auto" w:fill="auto"/>
                  <w:noWrap/>
                  <w:vAlign w:val="bottom"/>
                  <w:hideMark/>
                </w:tcPr>
                <w:p w:rsidR="007E7ACD" w:rsidRPr="005339AD" w:rsidRDefault="007E7ACD" w:rsidP="000617CF">
                  <w:pPr>
                    <w:jc w:val="center"/>
                    <w:rPr>
                      <w:rFonts w:ascii="Calibri" w:hAnsi="Calibri" w:cs="Calibri"/>
                      <w:color w:val="000000"/>
                      <w:sz w:val="18"/>
                      <w:szCs w:val="18"/>
                    </w:rPr>
                  </w:pPr>
                  <w:r>
                    <w:rPr>
                      <w:rFonts w:ascii="Calibri" w:hAnsi="Calibri" w:cs="Calibri"/>
                      <w:color w:val="000000"/>
                      <w:sz w:val="18"/>
                      <w:szCs w:val="18"/>
                    </w:rPr>
                    <w:t>100</w:t>
                  </w:r>
                  <w:r w:rsidRPr="005339AD">
                    <w:rPr>
                      <w:rFonts w:ascii="Calibri" w:hAnsi="Calibri" w:cs="Calibri"/>
                      <w:color w:val="000000"/>
                      <w:sz w:val="18"/>
                      <w:szCs w:val="18"/>
                    </w:rPr>
                    <w:t>%</w:t>
                  </w:r>
                </w:p>
              </w:tc>
              <w:tc>
                <w:tcPr>
                  <w:tcW w:w="792" w:type="dxa"/>
                  <w:shd w:val="clear" w:color="auto" w:fill="auto"/>
                  <w:noWrap/>
                  <w:vAlign w:val="bottom"/>
                  <w:hideMark/>
                </w:tcPr>
                <w:p w:rsidR="007E7ACD" w:rsidRPr="005339AD" w:rsidRDefault="007E7ACD" w:rsidP="000617CF">
                  <w:pPr>
                    <w:jc w:val="center"/>
                    <w:rPr>
                      <w:rFonts w:ascii="Calibri" w:hAnsi="Calibri" w:cs="Calibri"/>
                      <w:color w:val="000000"/>
                      <w:sz w:val="18"/>
                      <w:szCs w:val="18"/>
                    </w:rPr>
                  </w:pPr>
                  <w:r w:rsidRPr="005339AD">
                    <w:rPr>
                      <w:rFonts w:ascii="Calibri" w:hAnsi="Calibri" w:cs="Calibri"/>
                      <w:color w:val="000000"/>
                      <w:sz w:val="18"/>
                      <w:szCs w:val="18"/>
                    </w:rPr>
                    <w:t>100%</w:t>
                  </w:r>
                </w:p>
              </w:tc>
            </w:tr>
          </w:tbl>
          <w:p w:rsidR="007E7ACD" w:rsidRDefault="007E7ACD" w:rsidP="007E7ACD"/>
          <w:p w:rsidR="007E7ACD" w:rsidRDefault="007E7ACD" w:rsidP="007E7ACD">
            <w:r>
              <w:t>Interest in this workshop was high, especially for those students personally affected by a family or friend suicide.</w:t>
            </w:r>
          </w:p>
          <w:p w:rsidR="007E7ACD" w:rsidRDefault="007E7ACD" w:rsidP="007E7ACD">
            <w:pPr>
              <w:rPr>
                <w:u w:val="single"/>
              </w:rPr>
            </w:pPr>
          </w:p>
          <w:p w:rsidR="007E7ACD" w:rsidRDefault="007E7ACD" w:rsidP="007E7ACD">
            <w:pPr>
              <w:rPr>
                <w:u w:val="single"/>
              </w:rPr>
            </w:pPr>
          </w:p>
          <w:p w:rsidR="007C53D1" w:rsidRPr="009860CD" w:rsidRDefault="007C53D1" w:rsidP="00972106">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E7ACD" w:rsidRDefault="007E7ACD" w:rsidP="007E7ACD">
            <w:r>
              <w:t>The availability of faculty to create and present workshops is a function of the amount of student demand for clinical counseling services.  During Fall 2011 semester</w:t>
            </w:r>
            <w:r w:rsidR="004367B9">
              <w:t xml:space="preserve"> alone</w:t>
            </w:r>
            <w:r>
              <w:t>, there were 121 students who needed to be placed on the waiting list for counseling.  Although CCS places a very high value on outreach and educational workshops, counseling services need to take precedence.    As a result, CCS will continue to do the best possible to create and provide workshops</w:t>
            </w:r>
            <w:r w:rsidR="004367B9">
              <w:t xml:space="preserve"> within available time</w:t>
            </w:r>
            <w:r>
              <w:t xml:space="preserve">.  However, the ratio of clinical workload to the number of counselors precludes this being a useful AQIP objective for the CCS department.  It will not be carried forward into 2012 – 2013. </w:t>
            </w:r>
          </w:p>
          <w:p w:rsidR="007C53D1" w:rsidRPr="009860CD" w:rsidRDefault="007C53D1" w:rsidP="00972106">
            <w:pPr>
              <w:rPr>
                <w:rFonts w:ascii="Arial Narrow" w:hAnsi="Arial Narrow"/>
              </w:rPr>
            </w:pPr>
          </w:p>
        </w:tc>
      </w:tr>
    </w:tbl>
    <w:p w:rsidR="00E67E01" w:rsidRDefault="00E67E01"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E67E01" w:rsidRDefault="00E67E01"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lastRenderedPageBreak/>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9559A">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49559A">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9559A">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9559A">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9559A">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9559A">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74" w:rsidRDefault="006A7C74" w:rsidP="00CC0C16">
      <w:r>
        <w:separator/>
      </w:r>
    </w:p>
  </w:endnote>
  <w:endnote w:type="continuationSeparator" w:id="0">
    <w:p w:rsidR="006A7C74" w:rsidRDefault="006A7C74" w:rsidP="00CC0C16">
      <w:r>
        <w:continuationSeparator/>
      </w:r>
    </w:p>
  </w:endnote>
  <w:endnote w:id="1">
    <w:p w:rsidR="0049559A" w:rsidRDefault="0049559A">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9A" w:rsidRPr="00216099" w:rsidRDefault="0049559A"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AF1B7B"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AF1B7B" w:rsidRPr="004304D6">
          <w:rPr>
            <w:rFonts w:asciiTheme="minorHAnsi" w:hAnsiTheme="minorHAnsi" w:cstheme="minorHAnsi"/>
            <w:sz w:val="18"/>
          </w:rPr>
          <w:fldChar w:fldCharType="separate"/>
        </w:r>
        <w:r w:rsidR="00A10B8F">
          <w:rPr>
            <w:rFonts w:asciiTheme="minorHAnsi" w:hAnsiTheme="minorHAnsi" w:cstheme="minorHAnsi"/>
            <w:noProof/>
            <w:sz w:val="18"/>
          </w:rPr>
          <w:t>1</w:t>
        </w:r>
        <w:r w:rsidR="00AF1B7B"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74" w:rsidRDefault="006A7C74" w:rsidP="00CC0C16">
      <w:r>
        <w:separator/>
      </w:r>
    </w:p>
  </w:footnote>
  <w:footnote w:type="continuationSeparator" w:id="0">
    <w:p w:rsidR="006A7C74" w:rsidRDefault="006A7C74"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03FD"/>
    <w:multiLevelType w:val="hybridMultilevel"/>
    <w:tmpl w:val="7EB8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10B99"/>
    <w:multiLevelType w:val="hybridMultilevel"/>
    <w:tmpl w:val="1F22C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01B93"/>
    <w:multiLevelType w:val="hybridMultilevel"/>
    <w:tmpl w:val="10EA6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6B67"/>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6544"/>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467"/>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67B9"/>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59A"/>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A7C74"/>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02ED"/>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E7ACD"/>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B8F"/>
    <w:rsid w:val="00A10F3E"/>
    <w:rsid w:val="00A12D35"/>
    <w:rsid w:val="00A12F1B"/>
    <w:rsid w:val="00A133E4"/>
    <w:rsid w:val="00A13B7B"/>
    <w:rsid w:val="00A156D7"/>
    <w:rsid w:val="00A2112E"/>
    <w:rsid w:val="00A24592"/>
    <w:rsid w:val="00A252D7"/>
    <w:rsid w:val="00A26374"/>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1B7B"/>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3815"/>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2F6"/>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7E01"/>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1FD2"/>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9559A"/>
    <w:rPr>
      <w:rFonts w:ascii="Tahoma" w:hAnsi="Tahoma" w:cs="Tahoma"/>
      <w:sz w:val="16"/>
      <w:szCs w:val="16"/>
    </w:rPr>
  </w:style>
  <w:style w:type="character" w:customStyle="1" w:styleId="BalloonTextChar">
    <w:name w:val="Balloon Text Char"/>
    <w:basedOn w:val="DefaultParagraphFont"/>
    <w:link w:val="BalloonText"/>
    <w:uiPriority w:val="99"/>
    <w:semiHidden/>
    <w:rsid w:val="0049559A"/>
    <w:rPr>
      <w:rFonts w:ascii="Tahoma" w:eastAsia="Times New Roman" w:hAnsi="Tahoma" w:cs="Tahoma"/>
      <w:sz w:val="16"/>
      <w:szCs w:val="16"/>
    </w:rPr>
  </w:style>
  <w:style w:type="paragraph" w:styleId="ListParagraph">
    <w:name w:val="List Paragraph"/>
    <w:basedOn w:val="Normal"/>
    <w:uiPriority w:val="34"/>
    <w:qFormat/>
    <w:rsid w:val="007E7AC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u.edu/roadmap201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Sheet1!$A$3</c:f>
              <c:strCache>
                <c:ptCount val="1"/>
                <c:pt idx="0">
                  <c:v>My Counselor</c:v>
                </c:pt>
              </c:strCache>
            </c:strRef>
          </c:tx>
          <c:marker>
            <c:symbol val="none"/>
          </c:marker>
          <c:cat>
            <c:strRef>
              <c:f>Sheet1!$B$1:$F$2</c:f>
              <c:strCache>
                <c:ptCount val="5"/>
                <c:pt idx="0">
                  <c:v>2007 to
2008</c:v>
                </c:pt>
                <c:pt idx="1">
                  <c:v>2008 to
2009</c:v>
                </c:pt>
                <c:pt idx="2">
                  <c:v>2009 to
2010</c:v>
                </c:pt>
                <c:pt idx="3">
                  <c:v>2010 to
2011</c:v>
                </c:pt>
                <c:pt idx="4">
                  <c:v>2011 to 
2012</c:v>
                </c:pt>
              </c:strCache>
            </c:strRef>
          </c:cat>
          <c:val>
            <c:numRef>
              <c:f>Sheet1!$B$3:$F$3</c:f>
              <c:numCache>
                <c:formatCode>0%</c:formatCode>
                <c:ptCount val="5"/>
                <c:pt idx="0">
                  <c:v>0.95000000000000062</c:v>
                </c:pt>
                <c:pt idx="1">
                  <c:v>0.94499999999999995</c:v>
                </c:pt>
                <c:pt idx="2">
                  <c:v>0.96400000000000063</c:v>
                </c:pt>
                <c:pt idx="3">
                  <c:v>0.95909999999999995</c:v>
                </c:pt>
                <c:pt idx="4">
                  <c:v>0.95550000000000002</c:v>
                </c:pt>
              </c:numCache>
            </c:numRef>
          </c:val>
        </c:ser>
        <c:ser>
          <c:idx val="1"/>
          <c:order val="1"/>
          <c:tx>
            <c:strRef>
              <c:f>Sheet1!$A$4</c:f>
              <c:strCache>
                <c:ptCount val="1"/>
                <c:pt idx="0">
                  <c:v>Other Couselors</c:v>
                </c:pt>
              </c:strCache>
            </c:strRef>
          </c:tx>
          <c:marker>
            <c:symbol val="none"/>
          </c:marker>
          <c:cat>
            <c:strRef>
              <c:f>Sheet1!$B$1:$F$2</c:f>
              <c:strCache>
                <c:ptCount val="5"/>
                <c:pt idx="0">
                  <c:v>2007 to
2008</c:v>
                </c:pt>
                <c:pt idx="1">
                  <c:v>2008 to
2009</c:v>
                </c:pt>
                <c:pt idx="2">
                  <c:v>2009 to
2010</c:v>
                </c:pt>
                <c:pt idx="3">
                  <c:v>2010 to
2011</c:v>
                </c:pt>
                <c:pt idx="4">
                  <c:v>2011 to 
2012</c:v>
                </c:pt>
              </c:strCache>
            </c:strRef>
          </c:cat>
          <c:val>
            <c:numRef>
              <c:f>Sheet1!$B$4:$F$4</c:f>
              <c:numCache>
                <c:formatCode>0%</c:formatCode>
                <c:ptCount val="5"/>
                <c:pt idx="0">
                  <c:v>0.92</c:v>
                </c:pt>
                <c:pt idx="1">
                  <c:v>0.91100000000000003</c:v>
                </c:pt>
                <c:pt idx="2">
                  <c:v>0.90200000000000002</c:v>
                </c:pt>
                <c:pt idx="3">
                  <c:v>0.91069999999999995</c:v>
                </c:pt>
                <c:pt idx="4">
                  <c:v>0.86990000000000245</c:v>
                </c:pt>
              </c:numCache>
            </c:numRef>
          </c:val>
        </c:ser>
        <c:ser>
          <c:idx val="2"/>
          <c:order val="2"/>
          <c:tx>
            <c:strRef>
              <c:f>Sheet1!$A$5</c:f>
              <c:strCache>
                <c:ptCount val="1"/>
                <c:pt idx="0">
                  <c:v>Secretary</c:v>
                </c:pt>
              </c:strCache>
            </c:strRef>
          </c:tx>
          <c:marker>
            <c:symbol val="none"/>
          </c:marker>
          <c:cat>
            <c:strRef>
              <c:f>Sheet1!$B$1:$F$2</c:f>
              <c:strCache>
                <c:ptCount val="5"/>
                <c:pt idx="0">
                  <c:v>2007 to
2008</c:v>
                </c:pt>
                <c:pt idx="1">
                  <c:v>2008 to
2009</c:v>
                </c:pt>
                <c:pt idx="2">
                  <c:v>2009 to
2010</c:v>
                </c:pt>
                <c:pt idx="3">
                  <c:v>2010 to
2011</c:v>
                </c:pt>
                <c:pt idx="4">
                  <c:v>2011 to 
2012</c:v>
                </c:pt>
              </c:strCache>
            </c:strRef>
          </c:cat>
          <c:val>
            <c:numRef>
              <c:f>Sheet1!$B$5:$F$5</c:f>
              <c:numCache>
                <c:formatCode>0%</c:formatCode>
                <c:ptCount val="5"/>
                <c:pt idx="0">
                  <c:v>0.91</c:v>
                </c:pt>
                <c:pt idx="1">
                  <c:v>0.88100000000000089</c:v>
                </c:pt>
                <c:pt idx="2">
                  <c:v>0.89600000000000102</c:v>
                </c:pt>
                <c:pt idx="3">
                  <c:v>0.92630000000000001</c:v>
                </c:pt>
                <c:pt idx="4">
                  <c:v>0.91720000000000002</c:v>
                </c:pt>
              </c:numCache>
            </c:numRef>
          </c:val>
        </c:ser>
        <c:ser>
          <c:idx val="3"/>
          <c:order val="3"/>
          <c:tx>
            <c:strRef>
              <c:f>Sheet1!$A$6</c:f>
              <c:strCache>
                <c:ptCount val="1"/>
                <c:pt idx="0">
                  <c:v>Student Assistants</c:v>
                </c:pt>
              </c:strCache>
            </c:strRef>
          </c:tx>
          <c:marker>
            <c:symbol val="none"/>
          </c:marker>
          <c:cat>
            <c:strRef>
              <c:f>Sheet1!$B$1:$F$2</c:f>
              <c:strCache>
                <c:ptCount val="5"/>
                <c:pt idx="0">
                  <c:v>2007 to
2008</c:v>
                </c:pt>
                <c:pt idx="1">
                  <c:v>2008 to
2009</c:v>
                </c:pt>
                <c:pt idx="2">
                  <c:v>2009 to
2010</c:v>
                </c:pt>
                <c:pt idx="3">
                  <c:v>2010 to
2011</c:v>
                </c:pt>
                <c:pt idx="4">
                  <c:v>2011 to 
2012</c:v>
                </c:pt>
              </c:strCache>
            </c:strRef>
          </c:cat>
          <c:val>
            <c:numRef>
              <c:f>Sheet1!$B$6:$F$6</c:f>
              <c:numCache>
                <c:formatCode>0%</c:formatCode>
                <c:ptCount val="5"/>
                <c:pt idx="0">
                  <c:v>0.85000000000000064</c:v>
                </c:pt>
                <c:pt idx="1">
                  <c:v>0.85100000000000064</c:v>
                </c:pt>
                <c:pt idx="2">
                  <c:v>0.83700000000000063</c:v>
                </c:pt>
                <c:pt idx="3">
                  <c:v>0.89370000000000127</c:v>
                </c:pt>
                <c:pt idx="4">
                  <c:v>0.89850000000000052</c:v>
                </c:pt>
              </c:numCache>
            </c:numRef>
          </c:val>
        </c:ser>
        <c:marker val="1"/>
        <c:axId val="24758912"/>
        <c:axId val="24977792"/>
      </c:lineChart>
      <c:catAx>
        <c:axId val="24758912"/>
        <c:scaling>
          <c:orientation val="minMax"/>
        </c:scaling>
        <c:axPos val="b"/>
        <c:tickLblPos val="nextTo"/>
        <c:crossAx val="24977792"/>
        <c:crosses val="autoZero"/>
        <c:auto val="1"/>
        <c:lblAlgn val="ctr"/>
        <c:lblOffset val="100"/>
      </c:catAx>
      <c:valAx>
        <c:axId val="24977792"/>
        <c:scaling>
          <c:orientation val="minMax"/>
        </c:scaling>
        <c:axPos val="l"/>
        <c:majorGridlines/>
        <c:numFmt formatCode="0%" sourceLinked="1"/>
        <c:tickLblPos val="nextTo"/>
        <c:crossAx val="24758912"/>
        <c:crosses val="autoZero"/>
        <c:crossBetween val="between"/>
      </c:valAx>
    </c:plotArea>
    <c:legend>
      <c:legendPos val="r"/>
    </c:legend>
    <c:plotVisOnly val="1"/>
  </c:chart>
  <c:spPr>
    <a:noFill/>
    <a:ln w="5715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1F59-8FE0-41B6-A57E-C7A730BD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9</cp:revision>
  <cp:lastPrinted>2012-05-16T20:43:00Z</cp:lastPrinted>
  <dcterms:created xsi:type="dcterms:W3CDTF">2012-05-16T15:06:00Z</dcterms:created>
  <dcterms:modified xsi:type="dcterms:W3CDTF">2012-05-16T20:44:00Z</dcterms:modified>
</cp:coreProperties>
</file>