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5F" w:rsidRDefault="00030D5F" w:rsidP="00030D5F">
      <w:pPr>
        <w:jc w:val="center"/>
        <w:rPr>
          <w:rFonts w:ascii="Arial Narrow" w:hAnsi="Arial Narrow"/>
          <w:b/>
          <w:bCs/>
        </w:rPr>
      </w:pPr>
      <w:r>
        <w:rPr>
          <w:rFonts w:ascii="Arial Narrow" w:hAnsi="Arial Narrow"/>
          <w:b/>
          <w:bCs/>
        </w:rPr>
        <w:t>Northern Michigan University</w:t>
      </w:r>
    </w:p>
    <w:p w:rsidR="00030D5F" w:rsidRDefault="00030D5F" w:rsidP="00030D5F">
      <w:pPr>
        <w:jc w:val="center"/>
        <w:rPr>
          <w:rFonts w:ascii="Arial Narrow" w:hAnsi="Arial Narrow"/>
          <w:b/>
          <w:bCs/>
        </w:rPr>
      </w:pPr>
      <w:r>
        <w:rPr>
          <w:rFonts w:ascii="Arial Narrow" w:hAnsi="Arial Narrow"/>
          <w:b/>
          <w:bCs/>
        </w:rPr>
        <w:t>OUTCOMES ASSESSMENT PLAN/REPORT FORM</w:t>
      </w:r>
    </w:p>
    <w:p w:rsidR="00030D5F" w:rsidRDefault="00030D5F" w:rsidP="00030D5F">
      <w:pPr>
        <w:jc w:val="center"/>
        <w:rPr>
          <w:rFonts w:ascii="Arial Narrow" w:hAnsi="Arial Narrow"/>
          <w:b/>
          <w:bCs/>
        </w:rPr>
      </w:pPr>
      <w:r>
        <w:rPr>
          <w:rFonts w:ascii="Arial Narrow" w:hAnsi="Arial Narrow"/>
          <w:b/>
          <w:bCs/>
        </w:rPr>
        <w:t>Administrative or Educational Support Unit</w:t>
      </w:r>
    </w:p>
    <w:p w:rsidR="00030D5F" w:rsidRDefault="00030D5F" w:rsidP="00030D5F">
      <w:pPr>
        <w:rPr>
          <w:rFonts w:ascii="Arial Narrow" w:hAnsi="Arial Narrow"/>
        </w:rPr>
      </w:pPr>
    </w:p>
    <w:tbl>
      <w:tblPr>
        <w:tblW w:w="0" w:type="auto"/>
        <w:tblCellMar>
          <w:left w:w="0" w:type="dxa"/>
          <w:right w:w="0" w:type="dxa"/>
        </w:tblCellMar>
        <w:tblLook w:val="04A0" w:firstRow="1" w:lastRow="0" w:firstColumn="1" w:lastColumn="0" w:noHBand="0" w:noVBand="1"/>
      </w:tblPr>
      <w:tblGrid>
        <w:gridCol w:w="1895"/>
        <w:gridCol w:w="474"/>
        <w:gridCol w:w="619"/>
        <w:gridCol w:w="3534"/>
        <w:gridCol w:w="1510"/>
        <w:gridCol w:w="1544"/>
      </w:tblGrid>
      <w:tr w:rsidR="00030D5F" w:rsidTr="00030D5F">
        <w:tc>
          <w:tcPr>
            <w:tcW w:w="2628" w:type="dxa"/>
            <w:gridSpan w:val="2"/>
            <w:tcBorders>
              <w:top w:val="nil"/>
              <w:left w:val="nil"/>
              <w:bottom w:val="nil"/>
              <w:right w:val="single" w:sz="8" w:space="0" w:color="auto"/>
            </w:tcBorders>
            <w:tcMar>
              <w:top w:w="0" w:type="dxa"/>
              <w:left w:w="108" w:type="dxa"/>
              <w:bottom w:w="0" w:type="dxa"/>
              <w:right w:w="108" w:type="dxa"/>
            </w:tcMar>
            <w:vAlign w:val="center"/>
            <w:hideMark/>
          </w:tcPr>
          <w:p w:rsidR="00030D5F" w:rsidRDefault="00030D5F">
            <w:pPr>
              <w:spacing w:line="276" w:lineRule="auto"/>
              <w:rPr>
                <w:rFonts w:ascii="Arial Narrow" w:hAnsi="Arial Narrow"/>
                <w:sz w:val="24"/>
                <w:szCs w:val="24"/>
              </w:rPr>
            </w:pPr>
            <w:r>
              <w:rPr>
                <w:rFonts w:ascii="Arial Narrow" w:hAnsi="Arial Narrow"/>
              </w:rPr>
              <w:t>Name of Department or Unit</w:t>
            </w:r>
          </w:p>
        </w:tc>
        <w:tc>
          <w:tcPr>
            <w:tcW w:w="8388"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D5F" w:rsidRDefault="00030D5F">
            <w:pPr>
              <w:spacing w:line="276" w:lineRule="auto"/>
              <w:rPr>
                <w:rFonts w:ascii="Arial Narrow" w:hAnsi="Arial Narrow"/>
                <w:sz w:val="24"/>
                <w:szCs w:val="24"/>
              </w:rPr>
            </w:pPr>
            <w:r>
              <w:rPr>
                <w:rFonts w:ascii="Arial Narrow" w:hAnsi="Arial Narrow"/>
              </w:rPr>
              <w:t>Olson Library (Academic Information Services)</w:t>
            </w:r>
          </w:p>
        </w:tc>
      </w:tr>
      <w:tr w:rsidR="00030D5F" w:rsidTr="00030D5F">
        <w:tc>
          <w:tcPr>
            <w:tcW w:w="208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30D5F" w:rsidRDefault="00030D5F">
            <w:pPr>
              <w:spacing w:line="276" w:lineRule="auto"/>
              <w:rPr>
                <w:rFonts w:ascii="Arial Narrow" w:hAnsi="Arial Narrow"/>
                <w:sz w:val="24"/>
                <w:szCs w:val="24"/>
              </w:rPr>
            </w:pPr>
            <w:r>
              <w:rPr>
                <w:rFonts w:ascii="Arial Narrow" w:hAnsi="Arial Narrow"/>
              </w:rPr>
              <w:t>This document is the</w:t>
            </w:r>
          </w:p>
        </w:tc>
        <w:tc>
          <w:tcPr>
            <w:tcW w:w="5490"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D5F" w:rsidRDefault="00030D5F" w:rsidP="001B55BC">
            <w:pPr>
              <w:spacing w:line="276" w:lineRule="auto"/>
              <w:rPr>
                <w:rFonts w:ascii="Arial Narrow" w:hAnsi="Arial Narrow"/>
                <w:sz w:val="24"/>
                <w:szCs w:val="24"/>
              </w:rPr>
            </w:pPr>
            <w:r>
              <w:rPr>
                <w:rFonts w:ascii="Arial Narrow" w:hAnsi="Arial Narrow"/>
              </w:rPr>
              <w:t>  </w:t>
            </w:r>
            <w:r w:rsidR="001B55BC">
              <w:rPr>
                <w:rFonts w:ascii="Wingdings" w:hAnsi="Wingdings"/>
                <w:u w:val="single"/>
              </w:rPr>
              <w:t></w:t>
            </w:r>
            <w:r>
              <w:rPr>
                <w:rFonts w:ascii="Arial Narrow" w:hAnsi="Arial Narrow"/>
              </w:rPr>
              <w:t xml:space="preserve"> PLAN or </w:t>
            </w:r>
            <w:r w:rsidR="001B55BC">
              <w:rPr>
                <w:rFonts w:ascii="Wingdings" w:hAnsi="Wingdings"/>
              </w:rPr>
              <w:t></w:t>
            </w:r>
            <w:r>
              <w:rPr>
                <w:rFonts w:ascii="Arial Narrow" w:hAnsi="Arial Narrow"/>
              </w:rPr>
              <w:t>  REPORT for July 1, 2011 to June 30, 2012</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30D5F" w:rsidRDefault="00030D5F">
            <w:pPr>
              <w:spacing w:line="276" w:lineRule="auto"/>
              <w:rPr>
                <w:rFonts w:ascii="Arial Narrow" w:hAnsi="Arial Narrow"/>
                <w:sz w:val="24"/>
                <w:szCs w:val="24"/>
              </w:rPr>
            </w:pPr>
            <w:r>
              <w:rPr>
                <w:rFonts w:ascii="Arial Narrow" w:hAnsi="Arial Narrow"/>
                <w:shd w:val="clear" w:color="auto" w:fill="FFFFFF"/>
              </w:rPr>
              <w:t>Date Submitted</w:t>
            </w:r>
            <w:r>
              <w:rPr>
                <w:rFonts w:ascii="Arial Narrow" w:hAnsi="Arial Narrow"/>
              </w:rPr>
              <w:t>:</w:t>
            </w:r>
          </w:p>
        </w:tc>
        <w:tc>
          <w:tcPr>
            <w:tcW w:w="1818" w:type="dxa"/>
            <w:tcBorders>
              <w:top w:val="single" w:sz="8" w:space="0" w:color="auto"/>
              <w:left w:val="nil"/>
              <w:bottom w:val="nil"/>
              <w:right w:val="single" w:sz="8" w:space="0" w:color="auto"/>
            </w:tcBorders>
            <w:shd w:val="clear" w:color="auto" w:fill="F2F2F2"/>
            <w:tcMar>
              <w:top w:w="0" w:type="dxa"/>
              <w:left w:w="108" w:type="dxa"/>
              <w:bottom w:w="0" w:type="dxa"/>
              <w:right w:w="108" w:type="dxa"/>
            </w:tcMar>
            <w:vAlign w:val="center"/>
            <w:hideMark/>
          </w:tcPr>
          <w:p w:rsidR="00030D5F" w:rsidRDefault="00030D5F" w:rsidP="00CB707E">
            <w:pPr>
              <w:spacing w:line="276" w:lineRule="auto"/>
              <w:rPr>
                <w:rFonts w:ascii="Arial Narrow" w:hAnsi="Arial Narrow"/>
                <w:sz w:val="24"/>
                <w:szCs w:val="24"/>
              </w:rPr>
            </w:pPr>
            <w:r>
              <w:rPr>
                <w:rFonts w:ascii="Arial Narrow" w:hAnsi="Arial Narrow"/>
              </w:rPr>
              <w:t>7-</w:t>
            </w:r>
            <w:r w:rsidR="00CB707E">
              <w:rPr>
                <w:rFonts w:ascii="Arial Narrow" w:hAnsi="Arial Narrow"/>
              </w:rPr>
              <w:t>30</w:t>
            </w:r>
            <w:r>
              <w:rPr>
                <w:rFonts w:ascii="Arial Narrow" w:hAnsi="Arial Narrow"/>
              </w:rPr>
              <w:t>-1</w:t>
            </w:r>
            <w:r w:rsidR="00130D00">
              <w:rPr>
                <w:rFonts w:ascii="Arial Narrow" w:hAnsi="Arial Narrow"/>
              </w:rPr>
              <w:t>2</w:t>
            </w:r>
          </w:p>
        </w:tc>
      </w:tr>
      <w:tr w:rsidR="00030D5F" w:rsidTr="00030D5F">
        <w:tc>
          <w:tcPr>
            <w:tcW w:w="3348" w:type="dxa"/>
            <w:gridSpan w:val="3"/>
            <w:tcBorders>
              <w:top w:val="nil"/>
              <w:left w:val="nil"/>
              <w:bottom w:val="nil"/>
              <w:right w:val="single" w:sz="8" w:space="0" w:color="auto"/>
            </w:tcBorders>
            <w:tcMar>
              <w:top w:w="0" w:type="dxa"/>
              <w:left w:w="108" w:type="dxa"/>
              <w:bottom w:w="0" w:type="dxa"/>
              <w:right w:w="108" w:type="dxa"/>
            </w:tcMar>
            <w:vAlign w:val="center"/>
            <w:hideMark/>
          </w:tcPr>
          <w:p w:rsidR="00030D5F" w:rsidRDefault="00030D5F">
            <w:pPr>
              <w:spacing w:line="276" w:lineRule="auto"/>
              <w:rPr>
                <w:rFonts w:ascii="Arial Narrow" w:hAnsi="Arial Narrow"/>
                <w:sz w:val="24"/>
                <w:szCs w:val="24"/>
              </w:rPr>
            </w:pPr>
            <w:r>
              <w:rPr>
                <w:rFonts w:ascii="Arial Narrow" w:hAnsi="Arial Narrow"/>
              </w:rPr>
              <w:t>Submitted by (Unit Representative)</w:t>
            </w:r>
          </w:p>
        </w:tc>
        <w:tc>
          <w:tcPr>
            <w:tcW w:w="7668"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D5F" w:rsidRDefault="00030D5F">
            <w:pPr>
              <w:spacing w:line="276" w:lineRule="auto"/>
              <w:rPr>
                <w:rFonts w:ascii="Arial Narrow" w:hAnsi="Arial Narrow"/>
                <w:sz w:val="24"/>
                <w:szCs w:val="24"/>
              </w:rPr>
            </w:pPr>
            <w:r>
              <w:rPr>
                <w:rFonts w:ascii="Arial Narrow" w:hAnsi="Arial Narrow"/>
              </w:rPr>
              <w:t>Darlene Walch</w:t>
            </w:r>
          </w:p>
        </w:tc>
      </w:tr>
      <w:tr w:rsidR="00030D5F" w:rsidTr="00030D5F">
        <w:tc>
          <w:tcPr>
            <w:tcW w:w="2085" w:type="dxa"/>
            <w:vAlign w:val="center"/>
            <w:hideMark/>
          </w:tcPr>
          <w:p w:rsidR="00030D5F" w:rsidRDefault="00030D5F">
            <w:pPr>
              <w:rPr>
                <w:rFonts w:ascii="Times New Roman" w:eastAsia="Times New Roman" w:hAnsi="Times New Roman" w:cs="Times New Roman"/>
                <w:sz w:val="20"/>
                <w:szCs w:val="20"/>
              </w:rPr>
            </w:pPr>
          </w:p>
        </w:tc>
        <w:tc>
          <w:tcPr>
            <w:tcW w:w="540" w:type="dxa"/>
            <w:vAlign w:val="center"/>
            <w:hideMark/>
          </w:tcPr>
          <w:p w:rsidR="00030D5F" w:rsidRDefault="00030D5F">
            <w:pPr>
              <w:rPr>
                <w:rFonts w:ascii="Times New Roman" w:eastAsia="Times New Roman" w:hAnsi="Times New Roman" w:cs="Times New Roman"/>
                <w:sz w:val="20"/>
                <w:szCs w:val="20"/>
              </w:rPr>
            </w:pPr>
          </w:p>
        </w:tc>
        <w:tc>
          <w:tcPr>
            <w:tcW w:w="720" w:type="dxa"/>
            <w:vAlign w:val="center"/>
            <w:hideMark/>
          </w:tcPr>
          <w:p w:rsidR="00030D5F" w:rsidRDefault="00030D5F">
            <w:pPr>
              <w:rPr>
                <w:rFonts w:ascii="Times New Roman" w:eastAsia="Times New Roman" w:hAnsi="Times New Roman" w:cs="Times New Roman"/>
                <w:sz w:val="20"/>
                <w:szCs w:val="20"/>
              </w:rPr>
            </w:pPr>
          </w:p>
        </w:tc>
        <w:tc>
          <w:tcPr>
            <w:tcW w:w="4230" w:type="dxa"/>
            <w:vAlign w:val="center"/>
            <w:hideMark/>
          </w:tcPr>
          <w:p w:rsidR="00030D5F" w:rsidRDefault="00030D5F">
            <w:pPr>
              <w:rPr>
                <w:rFonts w:ascii="Times New Roman" w:eastAsia="Times New Roman" w:hAnsi="Times New Roman" w:cs="Times New Roman"/>
                <w:sz w:val="20"/>
                <w:szCs w:val="20"/>
              </w:rPr>
            </w:pPr>
          </w:p>
        </w:tc>
        <w:tc>
          <w:tcPr>
            <w:tcW w:w="1620" w:type="dxa"/>
            <w:vAlign w:val="center"/>
            <w:hideMark/>
          </w:tcPr>
          <w:p w:rsidR="00030D5F" w:rsidRDefault="00030D5F">
            <w:pPr>
              <w:rPr>
                <w:rFonts w:ascii="Times New Roman" w:eastAsia="Times New Roman" w:hAnsi="Times New Roman" w:cs="Times New Roman"/>
                <w:sz w:val="20"/>
                <w:szCs w:val="20"/>
              </w:rPr>
            </w:pPr>
          </w:p>
        </w:tc>
        <w:tc>
          <w:tcPr>
            <w:tcW w:w="1815" w:type="dxa"/>
            <w:vAlign w:val="center"/>
            <w:hideMark/>
          </w:tcPr>
          <w:p w:rsidR="00030D5F" w:rsidRDefault="00030D5F">
            <w:pPr>
              <w:rPr>
                <w:rFonts w:ascii="Times New Roman" w:eastAsia="Times New Roman" w:hAnsi="Times New Roman" w:cs="Times New Roman"/>
                <w:sz w:val="20"/>
                <w:szCs w:val="20"/>
              </w:rPr>
            </w:pPr>
          </w:p>
        </w:tc>
      </w:tr>
    </w:tbl>
    <w:p w:rsidR="00030D5F" w:rsidRDefault="00030D5F" w:rsidP="00030D5F">
      <w:pPr>
        <w:rPr>
          <w:rFonts w:ascii="Arial Narrow" w:hAnsi="Arial Narrow"/>
        </w:rPr>
      </w:pPr>
    </w:p>
    <w:tbl>
      <w:tblPr>
        <w:tblW w:w="0" w:type="auto"/>
        <w:tblCellMar>
          <w:left w:w="0" w:type="dxa"/>
          <w:right w:w="0" w:type="dxa"/>
        </w:tblCellMar>
        <w:tblLook w:val="04A0" w:firstRow="1" w:lastRow="0" w:firstColumn="1" w:lastColumn="0" w:noHBand="0" w:noVBand="1"/>
      </w:tblPr>
      <w:tblGrid>
        <w:gridCol w:w="9576"/>
      </w:tblGrid>
      <w:tr w:rsidR="00030D5F" w:rsidTr="00030D5F">
        <w:tc>
          <w:tcPr>
            <w:tcW w:w="10998" w:type="dxa"/>
            <w:tcBorders>
              <w:top w:val="nil"/>
              <w:left w:val="nil"/>
              <w:bottom w:val="single" w:sz="8" w:space="0" w:color="auto"/>
              <w:right w:val="nil"/>
            </w:tcBorders>
            <w:tcMar>
              <w:top w:w="0" w:type="dxa"/>
              <w:left w:w="108" w:type="dxa"/>
              <w:bottom w:w="0" w:type="dxa"/>
              <w:right w:w="108" w:type="dxa"/>
            </w:tcMar>
            <w:vAlign w:val="center"/>
            <w:hideMark/>
          </w:tcPr>
          <w:p w:rsidR="00030D5F" w:rsidRDefault="00030D5F" w:rsidP="001B55BC">
            <w:pPr>
              <w:spacing w:line="276" w:lineRule="auto"/>
              <w:rPr>
                <w:rFonts w:ascii="Arial Narrow" w:hAnsi="Arial Narrow"/>
                <w:b/>
                <w:bCs/>
                <w:sz w:val="24"/>
                <w:szCs w:val="24"/>
              </w:rPr>
            </w:pPr>
            <w:r>
              <w:rPr>
                <w:rFonts w:ascii="Arial Narrow" w:hAnsi="Arial Narrow"/>
                <w:b/>
                <w:bCs/>
              </w:rPr>
              <w:t>Department or Unit Mission Statement:    </w:t>
            </w:r>
            <w:r w:rsidR="001B55BC">
              <w:rPr>
                <w:rFonts w:ascii="Arial Narrow" w:hAnsi="Arial Narrow"/>
                <w:b/>
                <w:bCs/>
              </w:rPr>
              <w:t xml:space="preserve">           </w:t>
            </w:r>
            <w:r>
              <w:rPr>
                <w:rFonts w:ascii="Arial Narrow" w:hAnsi="Arial Narrow"/>
                <w:b/>
                <w:bCs/>
              </w:rPr>
              <w:t xml:space="preserve">Was this mission statement revised this year? </w:t>
            </w:r>
            <w:r>
              <w:rPr>
                <w:rFonts w:ascii="Arial Narrow" w:hAnsi="Arial Narrow"/>
                <w:b/>
                <w:bCs/>
                <w:u w:val="single"/>
              </w:rPr>
              <w:t>    </w:t>
            </w:r>
            <w:r>
              <w:rPr>
                <w:rFonts w:ascii="Arial Narrow" w:hAnsi="Arial Narrow"/>
                <w:b/>
                <w:bCs/>
              </w:rPr>
              <w:t xml:space="preserve">Yes  </w:t>
            </w:r>
            <w:r w:rsidRPr="001B55BC">
              <w:rPr>
                <w:rFonts w:ascii="Arial Narrow" w:hAnsi="Arial Narrow"/>
                <w:b/>
                <w:bCs/>
              </w:rPr>
              <w:t>_</w:t>
            </w:r>
            <w:r w:rsidRPr="001B55BC">
              <w:rPr>
                <w:rFonts w:ascii="Arial Narrow" w:hAnsi="Arial Narrow"/>
                <w:u w:val="single"/>
              </w:rPr>
              <w:t>X</w:t>
            </w:r>
            <w:r w:rsidRPr="001B55BC">
              <w:rPr>
                <w:rFonts w:ascii="Arial Narrow" w:hAnsi="Arial Narrow"/>
                <w:b/>
                <w:bCs/>
              </w:rPr>
              <w:t>_</w:t>
            </w:r>
            <w:r>
              <w:rPr>
                <w:rFonts w:ascii="Arial Narrow" w:hAnsi="Arial Narrow"/>
                <w:b/>
                <w:bCs/>
              </w:rPr>
              <w:t xml:space="preserve"> No</w:t>
            </w:r>
          </w:p>
        </w:tc>
      </w:tr>
      <w:tr w:rsidR="00030D5F" w:rsidTr="00030D5F">
        <w:trPr>
          <w:trHeight w:val="432"/>
        </w:trPr>
        <w:tc>
          <w:tcPr>
            <w:tcW w:w="1099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030D5F" w:rsidRDefault="00030D5F">
            <w:pPr>
              <w:spacing w:line="276" w:lineRule="auto"/>
              <w:rPr>
                <w:rFonts w:ascii="Arial Narrow" w:hAnsi="Arial Narrow"/>
                <w:sz w:val="24"/>
                <w:szCs w:val="24"/>
              </w:rPr>
            </w:pPr>
            <w:r>
              <w:rPr>
                <w:rFonts w:ascii="Arial Narrow" w:hAnsi="Arial Narrow"/>
              </w:rPr>
              <w:t>Olson Library contributes to the mission of Academic Information Services and to NMU’s teaching, learning, scholarship, and community outreach activities by providing academic programming in information literacy, access to information resources in a range of formats, instructional and consultative services, and a place to study and engage in collaborative scholarship. (Rev. 3/19/09)</w:t>
            </w:r>
          </w:p>
        </w:tc>
      </w:tr>
    </w:tbl>
    <w:p w:rsidR="00030D5F" w:rsidRDefault="00030D5F" w:rsidP="00030D5F">
      <w:pPr>
        <w:rPr>
          <w:rFonts w:ascii="Arial Narrow" w:hAnsi="Arial Narrow"/>
        </w:rPr>
      </w:pPr>
    </w:p>
    <w:p w:rsidR="00030D5F" w:rsidRDefault="00030D5F" w:rsidP="00030D5F">
      <w:pPr>
        <w:rPr>
          <w:rFonts w:ascii="Arial Narrow" w:hAnsi="Arial Narrow"/>
          <w:b/>
          <w:bCs/>
        </w:rPr>
      </w:pPr>
      <w:r>
        <w:rPr>
          <w:rFonts w:ascii="Arial Narrow" w:hAnsi="Arial Narrow"/>
          <w:b/>
          <w:bCs/>
        </w:rPr>
        <w:t xml:space="preserve">Functions within the University: </w:t>
      </w:r>
    </w:p>
    <w:tbl>
      <w:tblPr>
        <w:tblW w:w="0" w:type="auto"/>
        <w:tblCellMar>
          <w:left w:w="0" w:type="dxa"/>
          <w:right w:w="0" w:type="dxa"/>
        </w:tblCellMar>
        <w:tblLook w:val="04A0" w:firstRow="1" w:lastRow="0" w:firstColumn="1" w:lastColumn="0" w:noHBand="0" w:noVBand="1"/>
      </w:tblPr>
      <w:tblGrid>
        <w:gridCol w:w="4591"/>
        <w:gridCol w:w="270"/>
        <w:gridCol w:w="4715"/>
      </w:tblGrid>
      <w:tr w:rsidR="00030D5F" w:rsidTr="00133572">
        <w:tc>
          <w:tcPr>
            <w:tcW w:w="95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D5F" w:rsidRDefault="00030D5F">
            <w:pPr>
              <w:rPr>
                <w:rFonts w:ascii="Arial Narrow" w:hAnsi="Arial Narrow"/>
                <w:sz w:val="20"/>
                <w:szCs w:val="20"/>
              </w:rPr>
            </w:pPr>
            <w:r>
              <w:rPr>
                <w:rFonts w:ascii="Arial Narrow" w:hAnsi="Arial Narrow"/>
                <w:sz w:val="20"/>
                <w:szCs w:val="20"/>
              </w:rPr>
              <w:t xml:space="preserve">In addition to being part of NMU’s continuous improvement process, outcomes assessment plays a direct role with the AQIP Systems Portfolio (100-page document submitted every four years). To increase awareness and help gather Portfolio information, </w:t>
            </w:r>
            <w:r>
              <w:rPr>
                <w:rFonts w:ascii="Arial Narrow" w:hAnsi="Arial Narrow"/>
                <w:b/>
                <w:bCs/>
                <w:sz w:val="20"/>
                <w:szCs w:val="20"/>
              </w:rPr>
              <w:t>please type “X” for all AQIP categories directly related to your unit’s core mission</w:t>
            </w:r>
            <w:r>
              <w:rPr>
                <w:rFonts w:ascii="Arial Narrow" w:hAnsi="Arial Narrow"/>
                <w:sz w:val="20"/>
                <w:szCs w:val="20"/>
              </w:rPr>
              <w:t xml:space="preserve">. Some functions appear in more than one category. This is a first round collection of this information so do the best you can with the selection; if you want help, ask S. Poindexter. (Note: this section of the form is short-term; it will be deleted once functions have been mapped between units and the Systems Portfolio.) </w:t>
            </w:r>
          </w:p>
          <w:p w:rsidR="00030D5F" w:rsidRDefault="00030D5F">
            <w:pPr>
              <w:rPr>
                <w:rFonts w:ascii="Arial Narrow" w:hAnsi="Arial Narrow"/>
                <w:sz w:val="20"/>
                <w:szCs w:val="20"/>
              </w:rPr>
            </w:pPr>
          </w:p>
          <w:p w:rsidR="00030D5F" w:rsidRDefault="00030D5F">
            <w:pPr>
              <w:ind w:left="274" w:hanging="274"/>
              <w:rPr>
                <w:rFonts w:ascii="Arial Narrow" w:hAnsi="Arial Narrow"/>
                <w:sz w:val="20"/>
                <w:szCs w:val="20"/>
              </w:rPr>
            </w:pPr>
            <w:r>
              <w:rPr>
                <w:rFonts w:ascii="Wingdings" w:hAnsi="Wingdings"/>
                <w:b/>
                <w:bCs/>
                <w:sz w:val="20"/>
                <w:szCs w:val="20"/>
                <w:highlight w:val="black"/>
                <w:u w:val="single"/>
              </w:rPr>
              <w:t></w:t>
            </w:r>
            <w:r>
              <w:rPr>
                <w:rFonts w:ascii="Arial Narrow" w:hAnsi="Arial Narrow"/>
                <w:b/>
                <w:bCs/>
                <w:sz w:val="20"/>
                <w:szCs w:val="20"/>
                <w:u w:val="single"/>
              </w:rPr>
              <w:t xml:space="preserve"> </w:t>
            </w:r>
            <w:r>
              <w:rPr>
                <w:rFonts w:ascii="Arial Narrow" w:hAnsi="Arial Narrow"/>
                <w:sz w:val="20"/>
                <w:szCs w:val="20"/>
              </w:rPr>
              <w:t>AQIP Category 1: Helping Students Learn documents the curricular and co-curricular processes and student learning support.</w:t>
            </w:r>
          </w:p>
          <w:p w:rsidR="00030D5F" w:rsidRDefault="00030D5F">
            <w:pPr>
              <w:ind w:left="274" w:hanging="274"/>
              <w:rPr>
                <w:rFonts w:ascii="Arial Narrow" w:hAnsi="Arial Narrow"/>
                <w:sz w:val="20"/>
                <w:szCs w:val="20"/>
              </w:rPr>
            </w:pPr>
            <w:r>
              <w:rPr>
                <w:rFonts w:ascii="Wingdings" w:hAnsi="Wingdings"/>
                <w:b/>
                <w:bCs/>
                <w:sz w:val="20"/>
                <w:szCs w:val="20"/>
                <w:highlight w:val="black"/>
                <w:u w:val="single"/>
              </w:rPr>
              <w:t></w:t>
            </w:r>
            <w:r>
              <w:rPr>
                <w:rFonts w:ascii="Arial Narrow" w:hAnsi="Arial Narrow"/>
                <w:b/>
                <w:bCs/>
                <w:sz w:val="20"/>
                <w:szCs w:val="20"/>
                <w:u w:val="single"/>
              </w:rPr>
              <w:t xml:space="preserve"> </w:t>
            </w:r>
            <w:r>
              <w:rPr>
                <w:rFonts w:ascii="Arial Narrow" w:hAnsi="Arial Narrow"/>
                <w:sz w:val="20"/>
                <w:szCs w:val="20"/>
              </w:rPr>
              <w:t>AQIP Category 2: Accomplishing Other Distinctive Objectives documents the key non-curricular functions by which NMU serves the region, e.g. community engagement initiatives of students and employees, and department outreach.</w:t>
            </w:r>
          </w:p>
          <w:p w:rsidR="00030D5F" w:rsidRDefault="00030D5F">
            <w:pPr>
              <w:ind w:left="274" w:hanging="274"/>
              <w:rPr>
                <w:rFonts w:ascii="Arial Narrow" w:hAnsi="Arial Narrow"/>
                <w:sz w:val="20"/>
                <w:szCs w:val="20"/>
              </w:rPr>
            </w:pPr>
            <w:r>
              <w:rPr>
                <w:rFonts w:ascii="Wingdings" w:hAnsi="Wingdings"/>
                <w:b/>
                <w:bCs/>
                <w:sz w:val="20"/>
                <w:szCs w:val="20"/>
                <w:u w:val="single"/>
              </w:rPr>
              <w:t></w:t>
            </w:r>
            <w:r>
              <w:rPr>
                <w:rFonts w:ascii="Arial Narrow" w:hAnsi="Arial Narrow"/>
                <w:b/>
                <w:bCs/>
                <w:sz w:val="20"/>
                <w:szCs w:val="20"/>
                <w:u w:val="single"/>
              </w:rPr>
              <w:t xml:space="preserve"> </w:t>
            </w:r>
            <w:r>
              <w:rPr>
                <w:rFonts w:ascii="Arial Narrow" w:hAnsi="Arial Narrow"/>
                <w:sz w:val="20"/>
                <w:szCs w:val="20"/>
              </w:rPr>
              <w:t>AQIP Category 3: Understanding Students’ and Other Stakeholders’ Needs documents how NMU builds relationships with students, alumni and employers and identifies, targets and meets their needs.</w:t>
            </w:r>
          </w:p>
          <w:p w:rsidR="00030D5F" w:rsidRDefault="00030D5F">
            <w:pPr>
              <w:ind w:left="274" w:hanging="274"/>
              <w:rPr>
                <w:rFonts w:ascii="Arial Narrow" w:hAnsi="Arial Narrow"/>
                <w:sz w:val="20"/>
                <w:szCs w:val="20"/>
              </w:rPr>
            </w:pPr>
            <w:r>
              <w:rPr>
                <w:rFonts w:ascii="Wingdings" w:hAnsi="Wingdings"/>
                <w:b/>
                <w:bCs/>
                <w:sz w:val="20"/>
                <w:szCs w:val="20"/>
                <w:u w:val="single"/>
              </w:rPr>
              <w:t></w:t>
            </w:r>
            <w:r>
              <w:rPr>
                <w:rFonts w:ascii="Arial Narrow" w:hAnsi="Arial Narrow"/>
                <w:b/>
                <w:bCs/>
                <w:sz w:val="20"/>
                <w:szCs w:val="20"/>
                <w:u w:val="single"/>
              </w:rPr>
              <w:t xml:space="preserve"> </w:t>
            </w:r>
            <w:r>
              <w:rPr>
                <w:rFonts w:ascii="Arial Narrow" w:hAnsi="Arial Narrow"/>
                <w:sz w:val="20"/>
                <w:szCs w:val="20"/>
              </w:rPr>
              <w:t xml:space="preserve">AQIP Category 4: Valuing People documents NMU personnel recruitment, training, satisfaction, services and programs. </w:t>
            </w:r>
          </w:p>
          <w:p w:rsidR="00030D5F" w:rsidRDefault="00030D5F">
            <w:pPr>
              <w:ind w:left="274" w:hanging="274"/>
              <w:rPr>
                <w:rFonts w:ascii="Arial Narrow" w:hAnsi="Arial Narrow"/>
                <w:sz w:val="20"/>
                <w:szCs w:val="20"/>
              </w:rPr>
            </w:pPr>
            <w:r>
              <w:rPr>
                <w:rFonts w:ascii="Wingdings" w:hAnsi="Wingdings"/>
                <w:b/>
                <w:bCs/>
                <w:sz w:val="20"/>
                <w:szCs w:val="20"/>
                <w:u w:val="single"/>
              </w:rPr>
              <w:t></w:t>
            </w:r>
            <w:r>
              <w:rPr>
                <w:rFonts w:ascii="Arial Narrow" w:hAnsi="Arial Narrow"/>
                <w:b/>
                <w:bCs/>
                <w:sz w:val="20"/>
                <w:szCs w:val="20"/>
                <w:u w:val="single"/>
              </w:rPr>
              <w:t xml:space="preserve"> </w:t>
            </w:r>
            <w:r>
              <w:rPr>
                <w:rFonts w:ascii="Arial Narrow" w:hAnsi="Arial Narrow"/>
                <w:sz w:val="20"/>
                <w:szCs w:val="20"/>
              </w:rPr>
              <w:t xml:space="preserve">AQIP Category 5: Leading and Communicating documents processes that guide NMU in setting directions, making decisions, seeking future opportunities, and communicating decisions and actions. </w:t>
            </w:r>
          </w:p>
          <w:p w:rsidR="00030D5F" w:rsidRDefault="00030D5F">
            <w:pPr>
              <w:ind w:left="274" w:hanging="274"/>
              <w:rPr>
                <w:rFonts w:ascii="Arial Narrow" w:hAnsi="Arial Narrow"/>
                <w:sz w:val="20"/>
                <w:szCs w:val="20"/>
              </w:rPr>
            </w:pPr>
            <w:r>
              <w:rPr>
                <w:rFonts w:ascii="Wingdings" w:hAnsi="Wingdings"/>
                <w:b/>
                <w:bCs/>
                <w:sz w:val="20"/>
                <w:szCs w:val="20"/>
                <w:highlight w:val="black"/>
                <w:u w:val="single"/>
              </w:rPr>
              <w:t></w:t>
            </w:r>
            <w:r>
              <w:rPr>
                <w:rFonts w:ascii="Arial Narrow" w:hAnsi="Arial Narrow"/>
                <w:b/>
                <w:bCs/>
                <w:sz w:val="20"/>
                <w:szCs w:val="20"/>
                <w:u w:val="single"/>
              </w:rPr>
              <w:t xml:space="preserve"> </w:t>
            </w:r>
            <w:r>
              <w:rPr>
                <w:rFonts w:ascii="Arial Narrow" w:hAnsi="Arial Narrow"/>
                <w:sz w:val="20"/>
                <w:szCs w:val="20"/>
              </w:rPr>
              <w:t>AQIP Category 6: Supporting Institutional Operations documents student and administrative support services, safety, and facilities.</w:t>
            </w:r>
          </w:p>
          <w:p w:rsidR="00030D5F" w:rsidRDefault="00030D5F">
            <w:pPr>
              <w:ind w:left="274" w:hanging="274"/>
              <w:rPr>
                <w:rFonts w:ascii="Arial Narrow" w:hAnsi="Arial Narrow"/>
                <w:sz w:val="20"/>
                <w:szCs w:val="20"/>
              </w:rPr>
            </w:pPr>
            <w:r>
              <w:rPr>
                <w:rFonts w:ascii="Wingdings" w:hAnsi="Wingdings"/>
                <w:b/>
                <w:bCs/>
                <w:sz w:val="20"/>
                <w:szCs w:val="20"/>
                <w:u w:val="single"/>
              </w:rPr>
              <w:t></w:t>
            </w:r>
            <w:r>
              <w:rPr>
                <w:rFonts w:ascii="Arial Narrow" w:hAnsi="Arial Narrow"/>
                <w:b/>
                <w:bCs/>
                <w:sz w:val="20"/>
                <w:szCs w:val="20"/>
                <w:u w:val="single"/>
              </w:rPr>
              <w:t xml:space="preserve"> </w:t>
            </w:r>
            <w:r>
              <w:rPr>
                <w:rFonts w:ascii="Arial Narrow" w:hAnsi="Arial Narrow"/>
                <w:sz w:val="20"/>
                <w:szCs w:val="20"/>
              </w:rPr>
              <w:t>AQIP Category 7: Measuring Effectiveness documents IT systems and institutional research NMU employs to collect, analyze, and distribute, and how departments use them to manage improvement, e.g. use of charts, “cubes,” dashboards.</w:t>
            </w:r>
          </w:p>
          <w:p w:rsidR="00030D5F" w:rsidRDefault="00030D5F">
            <w:pPr>
              <w:ind w:left="274" w:hanging="274"/>
              <w:rPr>
                <w:rFonts w:ascii="Arial Narrow" w:hAnsi="Arial Narrow"/>
                <w:sz w:val="20"/>
                <w:szCs w:val="20"/>
              </w:rPr>
            </w:pPr>
            <w:r>
              <w:rPr>
                <w:rFonts w:ascii="Wingdings" w:hAnsi="Wingdings"/>
                <w:b/>
                <w:bCs/>
                <w:sz w:val="20"/>
                <w:szCs w:val="20"/>
                <w:u w:val="single"/>
              </w:rPr>
              <w:t></w:t>
            </w:r>
            <w:r>
              <w:rPr>
                <w:rFonts w:ascii="Arial Narrow" w:hAnsi="Arial Narrow"/>
                <w:b/>
                <w:bCs/>
                <w:sz w:val="20"/>
                <w:szCs w:val="20"/>
                <w:u w:val="single"/>
              </w:rPr>
              <w:t xml:space="preserve"> </w:t>
            </w:r>
            <w:r>
              <w:rPr>
                <w:rFonts w:ascii="Arial Narrow" w:hAnsi="Arial Narrow"/>
                <w:sz w:val="20"/>
                <w:szCs w:val="20"/>
              </w:rPr>
              <w:t>AQIP Category 8: Planning Continuous Improvement documents NMU’s strategic and administrative planning processes.</w:t>
            </w:r>
          </w:p>
          <w:p w:rsidR="00030D5F" w:rsidRDefault="00030D5F">
            <w:pPr>
              <w:ind w:left="274" w:hanging="274"/>
              <w:rPr>
                <w:rFonts w:ascii="Arial Narrow" w:hAnsi="Arial Narrow"/>
                <w:sz w:val="20"/>
                <w:szCs w:val="20"/>
              </w:rPr>
            </w:pPr>
            <w:r>
              <w:rPr>
                <w:rFonts w:ascii="Wingdings" w:hAnsi="Wingdings"/>
                <w:b/>
                <w:bCs/>
                <w:sz w:val="20"/>
                <w:szCs w:val="20"/>
                <w:highlight w:val="black"/>
                <w:u w:val="single"/>
              </w:rPr>
              <w:t></w:t>
            </w:r>
            <w:r>
              <w:rPr>
                <w:rFonts w:ascii="Arial Narrow" w:hAnsi="Arial Narrow"/>
                <w:b/>
                <w:bCs/>
                <w:sz w:val="20"/>
                <w:szCs w:val="20"/>
                <w:u w:val="single"/>
              </w:rPr>
              <w:t xml:space="preserve"> </w:t>
            </w:r>
            <w:r>
              <w:rPr>
                <w:rFonts w:ascii="Arial Narrow" w:hAnsi="Arial Narrow"/>
                <w:sz w:val="20"/>
                <w:szCs w:val="20"/>
              </w:rPr>
              <w:t>AQIP Category 9: Building Collaborative Relationships documents how NMU works with external organizations from which we receive students (school systems) or goods and services (vendors and utilities), send our graduates (schools and employers), and support or regulate our programs (agencies).</w:t>
            </w:r>
          </w:p>
          <w:p w:rsidR="00030D5F" w:rsidRDefault="00030D5F">
            <w:pPr>
              <w:spacing w:before="60"/>
              <w:ind w:left="274" w:hanging="274"/>
              <w:rPr>
                <w:rFonts w:ascii="Arial Narrow" w:hAnsi="Arial Narrow"/>
                <w:sz w:val="12"/>
                <w:szCs w:val="12"/>
              </w:rPr>
            </w:pPr>
          </w:p>
          <w:p w:rsidR="00030D5F" w:rsidRDefault="00030D5F">
            <w:pPr>
              <w:ind w:left="274" w:hanging="274"/>
              <w:jc w:val="center"/>
              <w:rPr>
                <w:rFonts w:ascii="Arial Narrow" w:hAnsi="Arial Narrow"/>
                <w:sz w:val="20"/>
                <w:szCs w:val="20"/>
              </w:rPr>
            </w:pPr>
            <w:r>
              <w:rPr>
                <w:rFonts w:ascii="Arial Narrow" w:hAnsi="Arial Narrow"/>
                <w:sz w:val="20"/>
                <w:szCs w:val="20"/>
              </w:rPr>
              <w:t xml:space="preserve">(A full description of the Portfolio’s categories and its detailed topics are available at </w:t>
            </w:r>
            <w:hyperlink r:id="rId8" w:history="1">
              <w:r>
                <w:rPr>
                  <w:rStyle w:val="Hyperlink"/>
                  <w:rFonts w:ascii="Arial Narrow" w:hAnsi="Arial Narrow"/>
                  <w:sz w:val="20"/>
                  <w:szCs w:val="20"/>
                </w:rPr>
                <w:t>www.nmu.edu/aqip</w:t>
              </w:r>
            </w:hyperlink>
            <w:r>
              <w:rPr>
                <w:rFonts w:ascii="Arial Narrow" w:hAnsi="Arial Narrow"/>
                <w:sz w:val="20"/>
                <w:szCs w:val="20"/>
              </w:rPr>
              <w:t>  under the Current Document tab.)</w:t>
            </w:r>
          </w:p>
        </w:tc>
      </w:tr>
      <w:tr w:rsidR="00030D5F" w:rsidTr="00133572">
        <w:tc>
          <w:tcPr>
            <w:tcW w:w="4591" w:type="dxa"/>
            <w:tcMar>
              <w:top w:w="0" w:type="dxa"/>
              <w:left w:w="108" w:type="dxa"/>
              <w:bottom w:w="0" w:type="dxa"/>
              <w:right w:w="108" w:type="dxa"/>
            </w:tcMar>
            <w:hideMark/>
          </w:tcPr>
          <w:p w:rsidR="00030D5F" w:rsidRDefault="00030D5F">
            <w:pPr>
              <w:spacing w:after="120" w:line="276" w:lineRule="auto"/>
              <w:ind w:left="-90" w:right="-72"/>
              <w:rPr>
                <w:rFonts w:ascii="Arial Narrow" w:hAnsi="Arial Narrow"/>
                <w:b/>
                <w:bCs/>
                <w:sz w:val="24"/>
                <w:szCs w:val="24"/>
              </w:rPr>
            </w:pPr>
            <w:r>
              <w:rPr>
                <w:rFonts w:ascii="Arial Narrow" w:hAnsi="Arial Narrow"/>
                <w:b/>
                <w:bCs/>
              </w:rPr>
              <w:t xml:space="preserve">Administrative Objective #1 </w:t>
            </w:r>
            <w:r>
              <w:rPr>
                <w:rFonts w:ascii="Arial Narrow" w:hAnsi="Arial Narrow"/>
                <w:i/>
                <w:iCs/>
              </w:rPr>
              <w:t>(State an ongoing goal by which the unit gauges its overall performance in a key role year after year, i.e. your “bottom line” measure.)</w:t>
            </w:r>
          </w:p>
        </w:tc>
        <w:tc>
          <w:tcPr>
            <w:tcW w:w="270" w:type="dxa"/>
            <w:tcMar>
              <w:top w:w="0" w:type="dxa"/>
              <w:left w:w="108" w:type="dxa"/>
              <w:bottom w:w="0" w:type="dxa"/>
              <w:right w:w="108" w:type="dxa"/>
            </w:tcMar>
          </w:tcPr>
          <w:p w:rsidR="00030D5F" w:rsidRDefault="00030D5F">
            <w:pPr>
              <w:spacing w:after="120" w:line="276" w:lineRule="auto"/>
              <w:rPr>
                <w:rFonts w:ascii="Arial Narrow" w:hAnsi="Arial Narrow"/>
                <w:sz w:val="24"/>
                <w:szCs w:val="24"/>
              </w:rPr>
            </w:pPr>
          </w:p>
        </w:tc>
        <w:tc>
          <w:tcPr>
            <w:tcW w:w="4715" w:type="dxa"/>
            <w:tcMar>
              <w:top w:w="0" w:type="dxa"/>
              <w:left w:w="108" w:type="dxa"/>
              <w:bottom w:w="0" w:type="dxa"/>
              <w:right w:w="108" w:type="dxa"/>
            </w:tcMar>
            <w:hideMark/>
          </w:tcPr>
          <w:p w:rsidR="00030D5F" w:rsidRDefault="00030D5F">
            <w:pPr>
              <w:spacing w:after="120" w:line="276" w:lineRule="auto"/>
              <w:rPr>
                <w:rFonts w:ascii="Arial Narrow" w:hAnsi="Arial Narrow"/>
                <w:sz w:val="24"/>
                <w:szCs w:val="24"/>
              </w:rPr>
            </w:pPr>
            <w:r>
              <w:rPr>
                <w:rFonts w:ascii="Arial Narrow" w:hAnsi="Arial Narrow"/>
                <w:b/>
                <w:bCs/>
              </w:rPr>
              <w:t>Means/Evidence of Assessment for Objective</w:t>
            </w:r>
            <w:r>
              <w:rPr>
                <w:rFonts w:ascii="Arial Narrow" w:hAnsi="Arial Narrow"/>
                <w:i/>
                <w:iCs/>
              </w:rPr>
              <w:t xml:space="preserve"> (Describe the statistic or criteria that measures success in achieving this goal.  What is the desired and/or minimum target you expect</w:t>
            </w:r>
            <w:r>
              <w:rPr>
                <w:rFonts w:ascii="Arial Narrow" w:hAnsi="Arial Narrow"/>
              </w:rPr>
              <w:t xml:space="preserve">? </w:t>
            </w:r>
            <w:r>
              <w:rPr>
                <w:rFonts w:ascii="Arial Narrow" w:hAnsi="Arial Narrow"/>
                <w:i/>
                <w:iCs/>
              </w:rPr>
              <w:t>What method is used to collect the data for the statistic</w:t>
            </w:r>
            <w:r>
              <w:rPr>
                <w:rFonts w:ascii="Arial Narrow" w:hAnsi="Arial Narrow"/>
              </w:rPr>
              <w:t>?)</w:t>
            </w:r>
          </w:p>
        </w:tc>
      </w:tr>
      <w:tr w:rsidR="00030D5F" w:rsidTr="00133572">
        <w:tc>
          <w:tcPr>
            <w:tcW w:w="4591" w:type="dxa"/>
            <w:shd w:val="clear" w:color="auto" w:fill="F2F2F2"/>
            <w:tcMar>
              <w:top w:w="0" w:type="dxa"/>
              <w:left w:w="108" w:type="dxa"/>
              <w:bottom w:w="0" w:type="dxa"/>
              <w:right w:w="108" w:type="dxa"/>
            </w:tcMar>
            <w:hideMark/>
          </w:tcPr>
          <w:p w:rsidR="00030D5F" w:rsidRDefault="009816D5" w:rsidP="008178CE">
            <w:pPr>
              <w:spacing w:after="240"/>
              <w:rPr>
                <w:rFonts w:ascii="Arial Narrow" w:hAnsi="Arial Narrow"/>
                <w:sz w:val="24"/>
                <w:szCs w:val="24"/>
              </w:rPr>
            </w:pPr>
            <w:r w:rsidRPr="00133572">
              <w:rPr>
                <w:rFonts w:ascii="Arial Narrow" w:hAnsi="Arial Narrow"/>
              </w:rPr>
              <w:t>P</w:t>
            </w:r>
            <w:r w:rsidR="00030D5F" w:rsidRPr="00133572">
              <w:rPr>
                <w:rFonts w:ascii="Arial Narrow" w:hAnsi="Arial Narrow"/>
              </w:rPr>
              <w:t>rovide</w:t>
            </w:r>
            <w:r w:rsidRPr="00133572">
              <w:rPr>
                <w:rFonts w:ascii="Arial Narrow" w:hAnsi="Arial Narrow"/>
              </w:rPr>
              <w:t xml:space="preserve"> quality</w:t>
            </w:r>
            <w:r w:rsidR="00030D5F" w:rsidRPr="00133572">
              <w:rPr>
                <w:rFonts w:ascii="Arial Narrow" w:hAnsi="Arial Narrow"/>
              </w:rPr>
              <w:t xml:space="preserve"> information resources in support of the </w:t>
            </w:r>
            <w:r w:rsidR="00030D5F" w:rsidRPr="00133572">
              <w:rPr>
                <w:rFonts w:ascii="Arial Narrow" w:hAnsi="Arial Narrow"/>
              </w:rPr>
              <w:lastRenderedPageBreak/>
              <w:t>curriculum</w:t>
            </w:r>
            <w:r w:rsidR="0075590D" w:rsidRPr="00133572">
              <w:rPr>
                <w:rFonts w:ascii="Arial Narrow" w:hAnsi="Arial Narrow"/>
              </w:rPr>
              <w:t xml:space="preserve"> in a cost effective manner.</w:t>
            </w:r>
          </w:p>
        </w:tc>
        <w:tc>
          <w:tcPr>
            <w:tcW w:w="270" w:type="dxa"/>
            <w:tcMar>
              <w:top w:w="0" w:type="dxa"/>
              <w:left w:w="108" w:type="dxa"/>
              <w:bottom w:w="0" w:type="dxa"/>
              <w:right w:w="108" w:type="dxa"/>
            </w:tcMar>
          </w:tcPr>
          <w:p w:rsidR="00030D5F" w:rsidRDefault="00030D5F">
            <w:pPr>
              <w:spacing w:line="276" w:lineRule="auto"/>
              <w:rPr>
                <w:rFonts w:ascii="Arial Narrow" w:hAnsi="Arial Narrow"/>
                <w:sz w:val="24"/>
                <w:szCs w:val="24"/>
              </w:rPr>
            </w:pPr>
          </w:p>
        </w:tc>
        <w:tc>
          <w:tcPr>
            <w:tcW w:w="4715" w:type="dxa"/>
            <w:shd w:val="clear" w:color="auto" w:fill="F2F2F2"/>
            <w:tcMar>
              <w:top w:w="0" w:type="dxa"/>
              <w:left w:w="108" w:type="dxa"/>
              <w:bottom w:w="0" w:type="dxa"/>
              <w:right w:w="108" w:type="dxa"/>
            </w:tcMar>
          </w:tcPr>
          <w:p w:rsidR="00030D5F" w:rsidRDefault="00030D5F" w:rsidP="008178CE">
            <w:pPr>
              <w:rPr>
                <w:rFonts w:ascii="Arial Narrow" w:hAnsi="Arial Narrow"/>
                <w:sz w:val="24"/>
                <w:szCs w:val="24"/>
              </w:rPr>
            </w:pPr>
            <w:r>
              <w:rPr>
                <w:rFonts w:ascii="Arial Narrow" w:hAnsi="Arial Narrow"/>
              </w:rPr>
              <w:t xml:space="preserve">Collect statistical data to show growth and modification </w:t>
            </w:r>
            <w:r>
              <w:rPr>
                <w:rFonts w:ascii="Arial Narrow" w:hAnsi="Arial Narrow"/>
              </w:rPr>
              <w:lastRenderedPageBreak/>
              <w:t>of the collection indicative of changes in resources:</w:t>
            </w:r>
          </w:p>
          <w:p w:rsidR="00030D5F" w:rsidRDefault="00030D5F" w:rsidP="008178CE">
            <w:pPr>
              <w:pStyle w:val="ListParagraph"/>
              <w:numPr>
                <w:ilvl w:val="0"/>
                <w:numId w:val="11"/>
              </w:numPr>
              <w:rPr>
                <w:rFonts w:ascii="Arial Narrow" w:hAnsi="Arial Narrow"/>
              </w:rPr>
            </w:pPr>
            <w:r>
              <w:rPr>
                <w:rFonts w:ascii="Arial Narrow" w:hAnsi="Arial Narrow"/>
              </w:rPr>
              <w:t>Monthly expenditures and additions by type of material</w:t>
            </w:r>
          </w:p>
          <w:p w:rsidR="00030D5F" w:rsidRDefault="00030D5F" w:rsidP="008178CE">
            <w:pPr>
              <w:pStyle w:val="ListParagraph"/>
              <w:numPr>
                <w:ilvl w:val="0"/>
                <w:numId w:val="11"/>
              </w:numPr>
              <w:rPr>
                <w:rFonts w:ascii="Arial Narrow" w:hAnsi="Arial Narrow"/>
              </w:rPr>
            </w:pPr>
            <w:r>
              <w:rPr>
                <w:rFonts w:ascii="Arial Narrow" w:hAnsi="Arial Narrow"/>
              </w:rPr>
              <w:t>Monthly deletions of outdated materials</w:t>
            </w:r>
          </w:p>
          <w:p w:rsidR="00030D5F" w:rsidRDefault="00030D5F" w:rsidP="008178CE">
            <w:pPr>
              <w:pStyle w:val="ListParagraph"/>
              <w:numPr>
                <w:ilvl w:val="0"/>
                <w:numId w:val="11"/>
              </w:numPr>
              <w:rPr>
                <w:rFonts w:ascii="Arial Narrow" w:hAnsi="Arial Narrow"/>
              </w:rPr>
            </w:pPr>
            <w:r>
              <w:rPr>
                <w:rFonts w:ascii="Arial Narrow" w:hAnsi="Arial Narrow"/>
              </w:rPr>
              <w:t>Continue the long-term weeding project, removing from the shelves materials that have not been used.  The target for the end of FY15 is to reduce the circulating collection on the library’s third floor by 50% from its 2009 size.</w:t>
            </w:r>
          </w:p>
          <w:p w:rsidR="00030D5F" w:rsidRDefault="00030D5F" w:rsidP="008178CE">
            <w:pPr>
              <w:pStyle w:val="ListParagraph"/>
              <w:numPr>
                <w:ilvl w:val="0"/>
                <w:numId w:val="11"/>
              </w:numPr>
              <w:rPr>
                <w:rFonts w:ascii="Arial Narrow" w:hAnsi="Arial Narrow"/>
              </w:rPr>
            </w:pPr>
            <w:r>
              <w:rPr>
                <w:rFonts w:ascii="Arial Narrow" w:hAnsi="Arial Narrow"/>
              </w:rPr>
              <w:t>Print material (books, journals, etc.) expenditures will be monitored on a monthly basis and compared to expenditures for electronic resources (databases, journal collections,</w:t>
            </w:r>
            <w:r w:rsidR="00547572">
              <w:rPr>
                <w:rFonts w:ascii="Arial Narrow" w:hAnsi="Arial Narrow"/>
              </w:rPr>
              <w:t xml:space="preserve"> </w:t>
            </w:r>
            <w:r w:rsidR="00A64133">
              <w:rPr>
                <w:rFonts w:ascii="Arial Narrow" w:hAnsi="Arial Narrow"/>
              </w:rPr>
              <w:t xml:space="preserve">and </w:t>
            </w:r>
            <w:proofErr w:type="spellStart"/>
            <w:r w:rsidR="00A64133">
              <w:rPr>
                <w:rFonts w:ascii="Arial Narrow" w:hAnsi="Arial Narrow"/>
              </w:rPr>
              <w:t>ebooks</w:t>
            </w:r>
            <w:proofErr w:type="spellEnd"/>
            <w:r w:rsidR="00A64133">
              <w:rPr>
                <w:rFonts w:ascii="Arial Narrow" w:hAnsi="Arial Narrow"/>
              </w:rPr>
              <w:t>).  The 2012 target i</w:t>
            </w:r>
            <w:r>
              <w:rPr>
                <w:rFonts w:ascii="Arial Narrow" w:hAnsi="Arial Narrow"/>
              </w:rPr>
              <w:t>s to have 75% of library acquisition expenditures directed toward electronic resources.</w:t>
            </w:r>
          </w:p>
          <w:p w:rsidR="00030D5F" w:rsidRDefault="00030D5F" w:rsidP="008178CE">
            <w:pPr>
              <w:pStyle w:val="ListParagraph"/>
              <w:numPr>
                <w:ilvl w:val="0"/>
                <w:numId w:val="11"/>
              </w:numPr>
              <w:rPr>
                <w:rFonts w:ascii="Arial Narrow" w:hAnsi="Arial Narrow"/>
              </w:rPr>
            </w:pPr>
            <w:r>
              <w:rPr>
                <w:rFonts w:ascii="Arial Narrow" w:hAnsi="Arial Narrow"/>
              </w:rPr>
              <w:t xml:space="preserve">Books in digital form will be reviewed in the context of the collection policies and curricular needs.  Books in digital form will be favored when content, ease of access, and cost factors are positive.  The FY12 target </w:t>
            </w:r>
            <w:r w:rsidR="00A64133">
              <w:rPr>
                <w:rFonts w:ascii="Arial Narrow" w:hAnsi="Arial Narrow"/>
              </w:rPr>
              <w:t>i</w:t>
            </w:r>
            <w:r>
              <w:rPr>
                <w:rFonts w:ascii="Arial Narrow" w:hAnsi="Arial Narrow"/>
              </w:rPr>
              <w:t>s to increase the digital book expenditures by 40% over FY11.</w:t>
            </w:r>
          </w:p>
          <w:p w:rsidR="009816D5" w:rsidRDefault="00030D5F" w:rsidP="006C0928">
            <w:pPr>
              <w:pStyle w:val="ListParagraph"/>
              <w:numPr>
                <w:ilvl w:val="0"/>
                <w:numId w:val="11"/>
              </w:numPr>
              <w:spacing w:line="276" w:lineRule="auto"/>
              <w:rPr>
                <w:rFonts w:ascii="Arial Narrow" w:hAnsi="Arial Narrow"/>
                <w:sz w:val="24"/>
                <w:szCs w:val="24"/>
              </w:rPr>
            </w:pPr>
            <w:r w:rsidRPr="006C0928">
              <w:rPr>
                <w:rFonts w:ascii="Arial Narrow" w:hAnsi="Arial Narrow"/>
              </w:rPr>
              <w:t>Resource use data by type of material and discipline based on circulation and browse statistics</w:t>
            </w:r>
          </w:p>
        </w:tc>
      </w:tr>
      <w:tr w:rsidR="00030D5F" w:rsidTr="00133572">
        <w:tc>
          <w:tcPr>
            <w:tcW w:w="4591" w:type="dxa"/>
            <w:tcMar>
              <w:top w:w="0" w:type="dxa"/>
              <w:left w:w="108" w:type="dxa"/>
              <w:bottom w:w="0" w:type="dxa"/>
              <w:right w:w="108" w:type="dxa"/>
            </w:tcMar>
            <w:vAlign w:val="center"/>
            <w:hideMark/>
          </w:tcPr>
          <w:p w:rsidR="00030D5F" w:rsidRDefault="00030D5F">
            <w:pPr>
              <w:spacing w:after="120" w:line="276" w:lineRule="auto"/>
              <w:ind w:right="-162"/>
              <w:rPr>
                <w:rFonts w:ascii="Arial Narrow" w:hAnsi="Arial Narrow"/>
                <w:b/>
                <w:bCs/>
                <w:sz w:val="24"/>
                <w:szCs w:val="24"/>
              </w:rPr>
            </w:pPr>
            <w:r>
              <w:rPr>
                <w:rFonts w:ascii="Arial Narrow" w:hAnsi="Arial Narrow"/>
                <w:b/>
                <w:bCs/>
              </w:rPr>
              <w:lastRenderedPageBreak/>
              <w:t xml:space="preserve">Summary of Data Collected </w:t>
            </w:r>
            <w:r>
              <w:rPr>
                <w:rFonts w:ascii="Arial Narrow" w:hAnsi="Arial Narrow"/>
                <w:i/>
                <w:iCs/>
              </w:rPr>
              <w:t>(Provide trend data and summarize)</w:t>
            </w:r>
          </w:p>
        </w:tc>
        <w:tc>
          <w:tcPr>
            <w:tcW w:w="270" w:type="dxa"/>
            <w:tcMar>
              <w:top w:w="0" w:type="dxa"/>
              <w:left w:w="108" w:type="dxa"/>
              <w:bottom w:w="0" w:type="dxa"/>
              <w:right w:w="108" w:type="dxa"/>
            </w:tcMar>
            <w:vAlign w:val="center"/>
          </w:tcPr>
          <w:p w:rsidR="00030D5F" w:rsidRDefault="00030D5F">
            <w:pPr>
              <w:spacing w:before="60" w:after="120" w:line="276" w:lineRule="auto"/>
              <w:rPr>
                <w:rFonts w:ascii="Arial Narrow" w:hAnsi="Arial Narrow"/>
                <w:sz w:val="24"/>
                <w:szCs w:val="24"/>
              </w:rPr>
            </w:pPr>
          </w:p>
        </w:tc>
        <w:tc>
          <w:tcPr>
            <w:tcW w:w="4715" w:type="dxa"/>
            <w:tcMar>
              <w:top w:w="0" w:type="dxa"/>
              <w:left w:w="108" w:type="dxa"/>
              <w:bottom w:w="0" w:type="dxa"/>
              <w:right w:w="108" w:type="dxa"/>
            </w:tcMar>
            <w:vAlign w:val="center"/>
            <w:hideMark/>
          </w:tcPr>
          <w:p w:rsidR="00030D5F" w:rsidRDefault="00030D5F">
            <w:pPr>
              <w:spacing w:before="60" w:after="120" w:line="276" w:lineRule="auto"/>
              <w:rPr>
                <w:rFonts w:ascii="Arial Narrow" w:hAnsi="Arial Narrow"/>
                <w:b/>
                <w:bCs/>
                <w:sz w:val="24"/>
                <w:szCs w:val="24"/>
              </w:rPr>
            </w:pPr>
            <w:r>
              <w:rPr>
                <w:rFonts w:ascii="Arial Narrow" w:hAnsi="Arial Narrow"/>
                <w:b/>
                <w:bCs/>
              </w:rPr>
              <w:t>Describe how results were used to improve services</w:t>
            </w:r>
          </w:p>
        </w:tc>
      </w:tr>
      <w:tr w:rsidR="00030D5F" w:rsidTr="00133572">
        <w:tc>
          <w:tcPr>
            <w:tcW w:w="4591" w:type="dxa"/>
            <w:tcBorders>
              <w:top w:val="nil"/>
              <w:left w:val="nil"/>
              <w:bottom w:val="single" w:sz="8" w:space="0" w:color="auto"/>
              <w:right w:val="nil"/>
            </w:tcBorders>
            <w:shd w:val="clear" w:color="auto" w:fill="F2F2F2"/>
            <w:tcMar>
              <w:top w:w="0" w:type="dxa"/>
              <w:left w:w="108" w:type="dxa"/>
              <w:bottom w:w="0" w:type="dxa"/>
              <w:right w:w="108" w:type="dxa"/>
            </w:tcMar>
            <w:hideMark/>
          </w:tcPr>
          <w:p w:rsidR="00030D5F" w:rsidRPr="00814FC2" w:rsidRDefault="002A0416" w:rsidP="006C0928">
            <w:pPr>
              <w:pStyle w:val="ListParagraph"/>
              <w:numPr>
                <w:ilvl w:val="0"/>
                <w:numId w:val="12"/>
              </w:numPr>
              <w:ind w:left="360"/>
              <w:rPr>
                <w:rFonts w:ascii="Arial Narrow" w:hAnsi="Arial Narrow"/>
              </w:rPr>
            </w:pPr>
            <w:r w:rsidRPr="00814FC2">
              <w:rPr>
                <w:rFonts w:ascii="Arial Narrow" w:hAnsi="Arial Narrow"/>
              </w:rPr>
              <w:t xml:space="preserve">Monthly acquisitions reports are extracted from the library’s internal cataloguing and acquisitions system to provide data for monitoring throughout the year. Documenting our assessment of monthly changes in funds expended has proven difficult because purchases and subscriptions aren’t paid at a constant rate throughout the fiscal year. For instance, our hundreds of print periodicals are handled in bulk through a subscription agent for best efficiency and pricing. The subscriptions run on the calendar year rather than the fiscal year, and all have to be paid in advance; thus, all of the library’s annual expenditures for a </w:t>
            </w:r>
            <w:r w:rsidR="00814FC2">
              <w:rPr>
                <w:rFonts w:ascii="Arial Narrow" w:hAnsi="Arial Narrow"/>
              </w:rPr>
              <w:t xml:space="preserve">calendar </w:t>
            </w:r>
            <w:r w:rsidRPr="00814FC2">
              <w:rPr>
                <w:rFonts w:ascii="Arial Narrow" w:hAnsi="Arial Narrow"/>
              </w:rPr>
              <w:t xml:space="preserve">year’s print subscriptions fall within a period of four months in the middle of the </w:t>
            </w:r>
            <w:r w:rsidR="00814FC2">
              <w:rPr>
                <w:rFonts w:ascii="Arial Narrow" w:hAnsi="Arial Narrow"/>
              </w:rPr>
              <w:t xml:space="preserve">fiscal </w:t>
            </w:r>
            <w:r w:rsidRPr="00814FC2">
              <w:rPr>
                <w:rFonts w:ascii="Arial Narrow" w:hAnsi="Arial Narrow"/>
              </w:rPr>
              <w:t xml:space="preserve">year. In addition, subscription renewals for January 1 are due September 1, which means that reviewing and making most of the decisions for the following calendar year has to take place during the previous fiscal year, when subscription costs can </w:t>
            </w:r>
            <w:r w:rsidRPr="00814FC2">
              <w:rPr>
                <w:rFonts w:ascii="Arial Narrow" w:hAnsi="Arial Narrow"/>
              </w:rPr>
              <w:lastRenderedPageBreak/>
              <w:t>only be projected/estimated. The actual costs aren’t known until the renewals are in process and fulfilled, which isn’t complete until more than halfway through the fiscal year.</w:t>
            </w:r>
            <w:r w:rsidR="00814FC2">
              <w:rPr>
                <w:rFonts w:ascii="Arial Narrow" w:hAnsi="Arial Narrow"/>
              </w:rPr>
              <w:t xml:space="preserve"> </w:t>
            </w:r>
            <w:r w:rsidR="00814FC2" w:rsidRPr="00814FC2">
              <w:rPr>
                <w:rFonts w:ascii="Arial Narrow" w:hAnsi="Arial Narrow"/>
              </w:rPr>
              <w:t xml:space="preserve">Notwithstanding the nonlinearity of expenditures throughout the year, monthly </w:t>
            </w:r>
            <w:r w:rsidR="00814FC2">
              <w:rPr>
                <w:rFonts w:ascii="Arial Narrow" w:hAnsi="Arial Narrow"/>
              </w:rPr>
              <w:t xml:space="preserve">fund </w:t>
            </w:r>
            <w:r w:rsidR="00814FC2" w:rsidRPr="00814FC2">
              <w:rPr>
                <w:rFonts w:ascii="Arial Narrow" w:hAnsi="Arial Narrow"/>
              </w:rPr>
              <w:t>reports were extracted</w:t>
            </w:r>
            <w:r w:rsidR="00814FC2">
              <w:rPr>
                <w:rFonts w:ascii="Arial Narrow" w:hAnsi="Arial Narrow"/>
              </w:rPr>
              <w:t xml:space="preserve"> and carefully monitored</w:t>
            </w:r>
            <w:r w:rsidR="00814FC2" w:rsidRPr="00814FC2">
              <w:rPr>
                <w:rFonts w:ascii="Arial Narrow" w:hAnsi="Arial Narrow"/>
              </w:rPr>
              <w:t>, and data for individual electronic resources were entered and tracked via spreadsheet</w:t>
            </w:r>
            <w:r w:rsidR="00814FC2">
              <w:rPr>
                <w:rFonts w:ascii="Arial Narrow" w:hAnsi="Arial Narrow"/>
              </w:rPr>
              <w:t>, providing cost histories and inflation by title and vendor back to 2001</w:t>
            </w:r>
            <w:r w:rsidR="00814FC2" w:rsidRPr="00814FC2">
              <w:rPr>
                <w:rFonts w:ascii="Arial Narrow" w:hAnsi="Arial Narrow"/>
              </w:rPr>
              <w:t>.</w:t>
            </w:r>
          </w:p>
          <w:p w:rsidR="00010C26" w:rsidRPr="00814FC2" w:rsidRDefault="00010C26" w:rsidP="006C0928">
            <w:pPr>
              <w:pStyle w:val="ListParagraph"/>
              <w:numPr>
                <w:ilvl w:val="0"/>
                <w:numId w:val="12"/>
              </w:numPr>
              <w:ind w:left="360"/>
              <w:rPr>
                <w:rFonts w:ascii="Arial Narrow" w:hAnsi="Arial Narrow"/>
              </w:rPr>
            </w:pPr>
            <w:r w:rsidRPr="00814FC2">
              <w:rPr>
                <w:rFonts w:ascii="Arial Narrow" w:hAnsi="Arial Narrow"/>
              </w:rPr>
              <w:t xml:space="preserve">Counts of </w:t>
            </w:r>
            <w:r w:rsidR="00DE5147" w:rsidRPr="00814FC2">
              <w:rPr>
                <w:rFonts w:ascii="Arial Narrow" w:hAnsi="Arial Narrow"/>
              </w:rPr>
              <w:t xml:space="preserve">weeded </w:t>
            </w:r>
            <w:r w:rsidRPr="00814FC2">
              <w:rPr>
                <w:rFonts w:ascii="Arial Narrow" w:hAnsi="Arial Narrow"/>
              </w:rPr>
              <w:t xml:space="preserve">materials were reported monthly by Technical Services staff managing the withdrawal process. </w:t>
            </w:r>
          </w:p>
          <w:p w:rsidR="00010C26" w:rsidRPr="00814FC2" w:rsidRDefault="00010C26" w:rsidP="006C0928">
            <w:pPr>
              <w:pStyle w:val="ListParagraph"/>
              <w:numPr>
                <w:ilvl w:val="0"/>
                <w:numId w:val="12"/>
              </w:numPr>
              <w:ind w:left="360"/>
              <w:rPr>
                <w:rFonts w:ascii="Arial Narrow" w:hAnsi="Arial Narrow"/>
              </w:rPr>
            </w:pPr>
            <w:r w:rsidRPr="00814FC2">
              <w:rPr>
                <w:rFonts w:ascii="Arial Narrow" w:hAnsi="Arial Narrow"/>
              </w:rPr>
              <w:t>The long-term weeding project continued, with data compiled and analyzed for progress toward the 2015 objective.</w:t>
            </w:r>
            <w:r w:rsidR="00DE5147" w:rsidRPr="00814FC2">
              <w:rPr>
                <w:rFonts w:ascii="Arial Narrow" w:hAnsi="Arial Narrow"/>
              </w:rPr>
              <w:t xml:space="preserve"> At the end of FY12, 111,000 volumes had been reviewed and 68,000 withdrawn. 66% of the unused materials have been reviewed, and 60% of those were withdrawn, representing 18% of the collection overall (</w:t>
            </w:r>
            <w:r w:rsidR="00BE3D7D">
              <w:rPr>
                <w:rFonts w:ascii="Arial Narrow" w:hAnsi="Arial Narrow"/>
              </w:rPr>
              <w:t xml:space="preserve">see attached file </w:t>
            </w:r>
            <w:r w:rsidR="00BE3D7D" w:rsidRPr="006C0928">
              <w:rPr>
                <w:rFonts w:ascii="Arial Narrow" w:hAnsi="Arial Narrow"/>
              </w:rPr>
              <w:t xml:space="preserve">WeedingProgress.xlsx, </w:t>
            </w:r>
            <w:r w:rsidR="00CB707E" w:rsidRPr="006C0928">
              <w:rPr>
                <w:rFonts w:ascii="Arial Narrow" w:hAnsi="Arial Narrow"/>
              </w:rPr>
              <w:t xml:space="preserve">tab </w:t>
            </w:r>
            <w:r w:rsidR="00BE3D7D" w:rsidRPr="006C0928">
              <w:rPr>
                <w:rFonts w:ascii="Arial Narrow" w:hAnsi="Arial Narrow"/>
              </w:rPr>
              <w:t>“Overview</w:t>
            </w:r>
            <w:r w:rsidR="00BE3D7D">
              <w:rPr>
                <w:rFonts w:ascii="Arial Narrow" w:hAnsi="Arial Narrow"/>
              </w:rPr>
              <w:t>”</w:t>
            </w:r>
            <w:r w:rsidR="008B4F83">
              <w:rPr>
                <w:rFonts w:ascii="Arial Narrow" w:hAnsi="Arial Narrow"/>
              </w:rPr>
              <w:t xml:space="preserve"> –</w:t>
            </w:r>
            <w:r w:rsidR="00DE5147" w:rsidRPr="00814FC2">
              <w:rPr>
                <w:rFonts w:ascii="Arial Narrow" w:hAnsi="Arial Narrow"/>
              </w:rPr>
              <w:t>).</w:t>
            </w:r>
          </w:p>
          <w:p w:rsidR="00DE5147" w:rsidRPr="00814FC2" w:rsidRDefault="00DE5147" w:rsidP="006C0928">
            <w:pPr>
              <w:pStyle w:val="ListParagraph"/>
              <w:numPr>
                <w:ilvl w:val="0"/>
                <w:numId w:val="12"/>
              </w:numPr>
              <w:ind w:left="360"/>
              <w:rPr>
                <w:rFonts w:ascii="Arial Narrow" w:hAnsi="Arial Narrow"/>
              </w:rPr>
            </w:pPr>
            <w:r w:rsidRPr="00814FC2">
              <w:rPr>
                <w:rFonts w:ascii="Arial Narrow" w:hAnsi="Arial Narrow"/>
              </w:rPr>
              <w:t>Expenditures were monitored and analyzed throughout the year for the proportion between print and electronic formats</w:t>
            </w:r>
            <w:r w:rsidR="008F40E9">
              <w:rPr>
                <w:rFonts w:ascii="Arial Narrow" w:hAnsi="Arial Narrow"/>
              </w:rPr>
              <w:t xml:space="preserve"> and projecting for print periodicals</w:t>
            </w:r>
            <w:r w:rsidRPr="00814FC2">
              <w:rPr>
                <w:rFonts w:ascii="Arial Narrow" w:hAnsi="Arial Narrow"/>
              </w:rPr>
              <w:t>. The target of 75% expenditures to be directed toward electronic resources was exceeded; 77.</w:t>
            </w:r>
            <w:r w:rsidR="00FA1637" w:rsidRPr="00814FC2">
              <w:rPr>
                <w:rFonts w:ascii="Arial Narrow" w:hAnsi="Arial Narrow"/>
              </w:rPr>
              <w:t>67</w:t>
            </w:r>
            <w:r w:rsidRPr="00814FC2">
              <w:rPr>
                <w:rFonts w:ascii="Arial Narrow" w:hAnsi="Arial Narrow"/>
              </w:rPr>
              <w:t>% of acquisitions funds expended were for electronic resources.</w:t>
            </w: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ED35E2" w:rsidRDefault="00ED35E2" w:rsidP="006C0928">
            <w:pPr>
              <w:pStyle w:val="ListParagraph"/>
              <w:ind w:left="360"/>
              <w:rPr>
                <w:rFonts w:ascii="Arial Narrow" w:hAnsi="Arial Narrow"/>
              </w:rPr>
            </w:pPr>
          </w:p>
          <w:p w:rsidR="00ED35E2" w:rsidRDefault="00ED35E2"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Pr="00B52E35" w:rsidRDefault="00B52E35" w:rsidP="006C0928">
            <w:pPr>
              <w:pStyle w:val="ListParagraph"/>
              <w:numPr>
                <w:ilvl w:val="0"/>
                <w:numId w:val="16"/>
              </w:numPr>
              <w:ind w:left="360"/>
              <w:rPr>
                <w:rFonts w:ascii="Arial Narrow" w:hAnsi="Arial Narrow"/>
                <w:vanish/>
              </w:rPr>
            </w:pPr>
          </w:p>
          <w:p w:rsidR="00B52E35" w:rsidRPr="00B52E35" w:rsidRDefault="00B52E35" w:rsidP="006C0928">
            <w:pPr>
              <w:pStyle w:val="ListParagraph"/>
              <w:numPr>
                <w:ilvl w:val="0"/>
                <w:numId w:val="16"/>
              </w:numPr>
              <w:ind w:left="360"/>
              <w:rPr>
                <w:rFonts w:ascii="Arial Narrow" w:hAnsi="Arial Narrow"/>
                <w:vanish/>
              </w:rPr>
            </w:pPr>
          </w:p>
          <w:p w:rsidR="00B52E35" w:rsidRPr="00B52E35" w:rsidRDefault="00B52E35" w:rsidP="006C0928">
            <w:pPr>
              <w:pStyle w:val="ListParagraph"/>
              <w:numPr>
                <w:ilvl w:val="0"/>
                <w:numId w:val="16"/>
              </w:numPr>
              <w:ind w:left="360"/>
              <w:rPr>
                <w:rFonts w:ascii="Arial Narrow" w:hAnsi="Arial Narrow"/>
                <w:vanish/>
              </w:rPr>
            </w:pPr>
          </w:p>
          <w:p w:rsidR="00B52E35" w:rsidRPr="00B52E35" w:rsidRDefault="00B52E35" w:rsidP="006C0928">
            <w:pPr>
              <w:pStyle w:val="ListParagraph"/>
              <w:numPr>
                <w:ilvl w:val="0"/>
                <w:numId w:val="16"/>
              </w:numPr>
              <w:ind w:left="360"/>
              <w:rPr>
                <w:rFonts w:ascii="Arial Narrow" w:hAnsi="Arial Narrow"/>
                <w:vanish/>
              </w:rPr>
            </w:pPr>
          </w:p>
          <w:p w:rsidR="00B52E35" w:rsidRPr="00B52E35" w:rsidRDefault="00FA1637" w:rsidP="006C0928">
            <w:pPr>
              <w:pStyle w:val="ListParagraph"/>
              <w:numPr>
                <w:ilvl w:val="0"/>
                <w:numId w:val="12"/>
              </w:numPr>
              <w:ind w:left="360"/>
              <w:rPr>
                <w:rFonts w:ascii="Arial Narrow" w:hAnsi="Arial Narrow"/>
                <w:sz w:val="24"/>
                <w:szCs w:val="24"/>
              </w:rPr>
            </w:pPr>
            <w:r w:rsidRPr="00B52E35">
              <w:rPr>
                <w:rFonts w:ascii="Arial Narrow" w:hAnsi="Arial Narrow"/>
              </w:rPr>
              <w:t xml:space="preserve">Books in digital form were discussed in depth this year, with the development of a new program that makes </w:t>
            </w:r>
            <w:proofErr w:type="spellStart"/>
            <w:r w:rsidR="00B0766F" w:rsidRPr="00B52E35">
              <w:rPr>
                <w:rFonts w:ascii="Arial Narrow" w:hAnsi="Arial Narrow"/>
              </w:rPr>
              <w:t>e</w:t>
            </w:r>
            <w:r w:rsidRPr="00B52E35">
              <w:rPr>
                <w:rFonts w:ascii="Arial Narrow" w:hAnsi="Arial Narrow"/>
              </w:rPr>
              <w:t>books</w:t>
            </w:r>
            <w:proofErr w:type="spellEnd"/>
            <w:r w:rsidRPr="00B52E35">
              <w:rPr>
                <w:rFonts w:ascii="Arial Narrow" w:hAnsi="Arial Narrow"/>
              </w:rPr>
              <w:t xml:space="preserve"> available to users but does not charge </w:t>
            </w:r>
            <w:r w:rsidR="00DC6446" w:rsidRPr="00B52E35">
              <w:rPr>
                <w:rFonts w:ascii="Arial Narrow" w:hAnsi="Arial Narrow"/>
              </w:rPr>
              <w:t xml:space="preserve">us for purchase or rental </w:t>
            </w:r>
            <w:r w:rsidRPr="00B52E35">
              <w:rPr>
                <w:rFonts w:ascii="Arial Narrow" w:hAnsi="Arial Narrow"/>
              </w:rPr>
              <w:t xml:space="preserve">until the material is </w:t>
            </w:r>
            <w:r w:rsidR="00B0766F" w:rsidRPr="00B52E35">
              <w:rPr>
                <w:rFonts w:ascii="Arial Narrow" w:hAnsi="Arial Narrow"/>
              </w:rPr>
              <w:t xml:space="preserve">actually </w:t>
            </w:r>
            <w:r w:rsidRPr="00B52E35">
              <w:rPr>
                <w:rFonts w:ascii="Arial Narrow" w:hAnsi="Arial Narrow"/>
              </w:rPr>
              <w:t>used.</w:t>
            </w:r>
            <w:r w:rsidR="00DC6446" w:rsidRPr="00B52E35">
              <w:rPr>
                <w:rFonts w:ascii="Arial Narrow" w:hAnsi="Arial Narrow"/>
              </w:rPr>
              <w:t xml:space="preserve"> Expenditures for electronic books rose 27.88%, below our 40% target. We set the 40% target based on our vendor’s initially quoted startup and ongoing costs for the new program. To our benefit (even if it was confusing at the time), the vendor changed its pricing for part of the program from a per-title fee to a flat fee, which made unnecessary $9,000 of our planned expenditures for electronic books.</w:t>
            </w: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Default="00B52E35" w:rsidP="006C0928">
            <w:pPr>
              <w:pStyle w:val="ListParagraph"/>
              <w:ind w:left="360"/>
              <w:rPr>
                <w:rFonts w:ascii="Arial Narrow" w:hAnsi="Arial Narrow"/>
              </w:rPr>
            </w:pPr>
          </w:p>
          <w:p w:rsidR="00B52E35" w:rsidRPr="00B52E35" w:rsidRDefault="003225B0" w:rsidP="006C0928">
            <w:pPr>
              <w:pStyle w:val="ListParagraph"/>
              <w:numPr>
                <w:ilvl w:val="0"/>
                <w:numId w:val="12"/>
              </w:numPr>
              <w:ind w:left="360"/>
              <w:rPr>
                <w:rFonts w:ascii="Arial Narrow" w:hAnsi="Arial Narrow"/>
                <w:sz w:val="24"/>
                <w:szCs w:val="24"/>
              </w:rPr>
            </w:pPr>
            <w:r w:rsidRPr="00B52E35">
              <w:rPr>
                <w:rFonts w:ascii="Arial Narrow" w:hAnsi="Arial Narrow"/>
              </w:rPr>
              <w:t>A method was developed for extracting e</w:t>
            </w:r>
            <w:r w:rsidR="00B0766F" w:rsidRPr="00B52E35">
              <w:rPr>
                <w:rFonts w:ascii="Arial Narrow" w:hAnsi="Arial Narrow"/>
              </w:rPr>
              <w:t xml:space="preserve">xtensive </w:t>
            </w:r>
            <w:r w:rsidR="00B0766F" w:rsidRPr="00B52E35">
              <w:rPr>
                <w:rFonts w:ascii="Arial Narrow" w:hAnsi="Arial Narrow"/>
              </w:rPr>
              <w:lastRenderedPageBreak/>
              <w:t xml:space="preserve">usage data on print materials, audiovisual media, technology items (e.g., laptop chargers, flash drives, cameras, </w:t>
            </w:r>
            <w:proofErr w:type="gramStart"/>
            <w:r w:rsidR="00B0766F" w:rsidRPr="00B52E35">
              <w:rPr>
                <w:rFonts w:ascii="Arial Narrow" w:hAnsi="Arial Narrow"/>
              </w:rPr>
              <w:t>modems</w:t>
            </w:r>
            <w:proofErr w:type="gramEnd"/>
            <w:r w:rsidR="00B0766F" w:rsidRPr="00B52E35">
              <w:rPr>
                <w:rFonts w:ascii="Arial Narrow" w:hAnsi="Arial Narrow"/>
              </w:rPr>
              <w:t xml:space="preserve">), study rooms, and other resources available from the library for FY10 and FY11. </w:t>
            </w:r>
            <w:r w:rsidR="00044006" w:rsidRPr="00B52E35">
              <w:rPr>
                <w:rFonts w:ascii="Arial Narrow" w:hAnsi="Arial Narrow"/>
              </w:rPr>
              <w:t>The data were analyz</w:t>
            </w:r>
            <w:r w:rsidR="00B0766F" w:rsidRPr="00B52E35">
              <w:rPr>
                <w:rFonts w:ascii="Arial Narrow" w:hAnsi="Arial Narrow"/>
              </w:rPr>
              <w:t>e</w:t>
            </w:r>
            <w:r w:rsidR="00044006" w:rsidRPr="00B52E35">
              <w:rPr>
                <w:rFonts w:ascii="Arial Narrow" w:hAnsi="Arial Narrow"/>
              </w:rPr>
              <w:t>d</w:t>
            </w:r>
            <w:r w:rsidR="00B0766F" w:rsidRPr="00B52E35">
              <w:rPr>
                <w:rFonts w:ascii="Arial Narrow" w:hAnsi="Arial Narrow"/>
              </w:rPr>
              <w:t xml:space="preserve"> for material type, user group, and subject matter</w:t>
            </w:r>
            <w:r w:rsidR="00044006" w:rsidRPr="00B52E35">
              <w:rPr>
                <w:rFonts w:ascii="Arial Narrow" w:hAnsi="Arial Narrow"/>
              </w:rPr>
              <w:t>, yielding</w:t>
            </w:r>
            <w:r w:rsidR="00B0766F" w:rsidRPr="00B52E35">
              <w:rPr>
                <w:rFonts w:ascii="Arial Narrow" w:hAnsi="Arial Narrow"/>
              </w:rPr>
              <w:t xml:space="preserve"> a </w:t>
            </w:r>
            <w:r w:rsidR="00044006" w:rsidRPr="00B52E35">
              <w:rPr>
                <w:rFonts w:ascii="Arial Narrow" w:hAnsi="Arial Narrow"/>
              </w:rPr>
              <w:t xml:space="preserve">multifaceted picture of </w:t>
            </w:r>
            <w:r w:rsidR="00B0766F" w:rsidRPr="00B52E35">
              <w:rPr>
                <w:rFonts w:ascii="Arial Narrow" w:hAnsi="Arial Narrow"/>
              </w:rPr>
              <w:t>how the library and its physical materials are used and by whom.</w:t>
            </w:r>
            <w:r w:rsidRPr="00B52E35">
              <w:rPr>
                <w:rFonts w:ascii="Arial Narrow" w:hAnsi="Arial Narrow"/>
              </w:rPr>
              <w:t xml:space="preserve"> </w:t>
            </w:r>
            <w:r w:rsidR="00044006" w:rsidRPr="00B52E35">
              <w:rPr>
                <w:rFonts w:ascii="Arial Narrow" w:hAnsi="Arial Narrow"/>
              </w:rPr>
              <w:t xml:space="preserve">For instance, items of all types (including </w:t>
            </w:r>
            <w:r w:rsidR="00547572">
              <w:rPr>
                <w:rFonts w:ascii="Arial Narrow" w:hAnsi="Arial Narrow"/>
              </w:rPr>
              <w:t>study rooms) were checked out 44</w:t>
            </w:r>
            <w:r w:rsidR="00044006" w:rsidRPr="00B52E35">
              <w:rPr>
                <w:rFonts w:ascii="Arial Narrow" w:hAnsi="Arial Narrow"/>
              </w:rPr>
              <w:t>,</w:t>
            </w:r>
            <w:r w:rsidR="00547572">
              <w:rPr>
                <w:rFonts w:ascii="Arial Narrow" w:hAnsi="Arial Narrow"/>
              </w:rPr>
              <w:t>9</w:t>
            </w:r>
            <w:r w:rsidR="00044006" w:rsidRPr="00B52E35">
              <w:rPr>
                <w:rFonts w:ascii="Arial Narrow" w:hAnsi="Arial Narrow"/>
              </w:rPr>
              <w:t>00 times in FY11. 21,900 print books were checked</w:t>
            </w:r>
            <w:r w:rsidR="00792B2F">
              <w:rPr>
                <w:rFonts w:ascii="Arial Narrow" w:hAnsi="Arial Narrow"/>
              </w:rPr>
              <w:t xml:space="preserve"> out 36</w:t>
            </w:r>
            <w:r w:rsidR="000363A9">
              <w:rPr>
                <w:rFonts w:ascii="Arial Narrow" w:hAnsi="Arial Narrow"/>
              </w:rPr>
              <w:t>,</w:t>
            </w:r>
            <w:r w:rsidR="00792B2F">
              <w:rPr>
                <w:rFonts w:ascii="Arial Narrow" w:hAnsi="Arial Narrow"/>
              </w:rPr>
              <w:t>6</w:t>
            </w:r>
            <w:r w:rsidR="000363A9">
              <w:rPr>
                <w:rFonts w:ascii="Arial Narrow" w:hAnsi="Arial Narrow"/>
              </w:rPr>
              <w:t xml:space="preserve">00 times; </w:t>
            </w:r>
            <w:r w:rsidR="0025086F">
              <w:rPr>
                <w:rFonts w:ascii="Arial Narrow" w:hAnsi="Arial Narrow"/>
              </w:rPr>
              <w:t>48</w:t>
            </w:r>
            <w:r w:rsidR="00044006" w:rsidRPr="00B52E35">
              <w:rPr>
                <w:rFonts w:ascii="Arial Narrow" w:hAnsi="Arial Narrow"/>
              </w:rPr>
              <w:t>% of book checkouts</w:t>
            </w:r>
            <w:r w:rsidR="00D67D72">
              <w:rPr>
                <w:rFonts w:ascii="Arial Narrow" w:hAnsi="Arial Narrow"/>
              </w:rPr>
              <w:t xml:space="preserve"> and 56% of all checkouts</w:t>
            </w:r>
            <w:r w:rsidR="00044006" w:rsidRPr="00B52E35">
              <w:rPr>
                <w:rFonts w:ascii="Arial Narrow" w:hAnsi="Arial Narrow"/>
              </w:rPr>
              <w:t xml:space="preserve"> were by undergraduates.</w:t>
            </w:r>
            <w:r w:rsidR="00B52E35" w:rsidRPr="00B52E35">
              <w:rPr>
                <w:rFonts w:ascii="Arial Narrow" w:hAnsi="Arial Narrow"/>
              </w:rPr>
              <w:t xml:space="preserve"> The most heavily used subjects were in history, literature, general social</w:t>
            </w:r>
            <w:r w:rsidR="00044006" w:rsidRPr="00B52E35">
              <w:rPr>
                <w:rFonts w:ascii="Arial Narrow" w:hAnsi="Arial Narrow"/>
              </w:rPr>
              <w:t xml:space="preserve"> </w:t>
            </w:r>
            <w:r w:rsidR="00B52E35" w:rsidRPr="00B52E35">
              <w:rPr>
                <w:rFonts w:ascii="Arial Narrow" w:hAnsi="Arial Narrow"/>
              </w:rPr>
              <w:t xml:space="preserve">sciences, philosophy, psychology, and medicine. </w:t>
            </w:r>
          </w:p>
          <w:p w:rsidR="00B0766F" w:rsidRPr="00010C26" w:rsidRDefault="00044006" w:rsidP="006C0928">
            <w:pPr>
              <w:pStyle w:val="ListParagraph"/>
              <w:ind w:left="360"/>
              <w:rPr>
                <w:rFonts w:ascii="Arial Narrow" w:hAnsi="Arial Narrow"/>
                <w:sz w:val="24"/>
                <w:szCs w:val="24"/>
              </w:rPr>
            </w:pPr>
            <w:r w:rsidRPr="00814FC2">
              <w:rPr>
                <w:rFonts w:ascii="Arial Narrow" w:hAnsi="Arial Narrow"/>
              </w:rPr>
              <w:t>We discovered issues with developing u</w:t>
            </w:r>
            <w:r w:rsidR="003225B0" w:rsidRPr="00814FC2">
              <w:rPr>
                <w:rFonts w:ascii="Arial Narrow" w:hAnsi="Arial Narrow"/>
              </w:rPr>
              <w:t>sage data for electronic resources</w:t>
            </w:r>
            <w:r w:rsidRPr="00814FC2">
              <w:rPr>
                <w:rFonts w:ascii="Arial Narrow" w:hAnsi="Arial Narrow"/>
              </w:rPr>
              <w:t xml:space="preserve">, in that administrative account access for extracting usage data had not been consistently maintained over the years; the increasing rate at which publishers and database vendors have bought, sold, merged, and discontinued titles and collections made it difficult to keep accurate access information on file. </w:t>
            </w:r>
            <w:r w:rsidR="00814FC2" w:rsidRPr="00814FC2">
              <w:rPr>
                <w:rFonts w:ascii="Arial Narrow" w:hAnsi="Arial Narrow"/>
              </w:rPr>
              <w:t>In response, the library this year adopted a new system for managing electronic resources, which for the first time consolidates administrative account access logins (along with other important information) and makes them available on a department-share server to authorized users</w:t>
            </w:r>
            <w:r w:rsidR="009638E4" w:rsidRPr="00814FC2">
              <w:rPr>
                <w:rFonts w:ascii="Arial Narrow" w:hAnsi="Arial Narrow"/>
              </w:rPr>
              <w:t xml:space="preserve"> as needed</w:t>
            </w:r>
            <w:r w:rsidR="00814FC2" w:rsidRPr="00814FC2">
              <w:rPr>
                <w:rFonts w:ascii="Arial Narrow" w:hAnsi="Arial Narrow"/>
              </w:rPr>
              <w:t>.</w:t>
            </w:r>
          </w:p>
        </w:tc>
        <w:tc>
          <w:tcPr>
            <w:tcW w:w="270" w:type="dxa"/>
            <w:tcBorders>
              <w:top w:val="nil"/>
              <w:left w:val="nil"/>
              <w:bottom w:val="single" w:sz="8" w:space="0" w:color="auto"/>
              <w:right w:val="nil"/>
            </w:tcBorders>
            <w:tcMar>
              <w:top w:w="0" w:type="dxa"/>
              <w:left w:w="108" w:type="dxa"/>
              <w:bottom w:w="0" w:type="dxa"/>
              <w:right w:w="108" w:type="dxa"/>
            </w:tcMar>
          </w:tcPr>
          <w:p w:rsidR="00030D5F" w:rsidRDefault="00030D5F">
            <w:pPr>
              <w:spacing w:line="276" w:lineRule="auto"/>
              <w:rPr>
                <w:rFonts w:ascii="Arial Narrow" w:hAnsi="Arial Narrow"/>
                <w:sz w:val="24"/>
                <w:szCs w:val="24"/>
              </w:rPr>
            </w:pPr>
          </w:p>
        </w:tc>
        <w:tc>
          <w:tcPr>
            <w:tcW w:w="4715" w:type="dxa"/>
            <w:tcBorders>
              <w:top w:val="nil"/>
              <w:left w:val="nil"/>
              <w:bottom w:val="single" w:sz="8" w:space="0" w:color="auto"/>
              <w:right w:val="nil"/>
            </w:tcBorders>
            <w:shd w:val="clear" w:color="auto" w:fill="F2F2F2"/>
            <w:tcMar>
              <w:top w:w="0" w:type="dxa"/>
              <w:left w:w="108" w:type="dxa"/>
              <w:bottom w:w="0" w:type="dxa"/>
              <w:right w:w="108" w:type="dxa"/>
            </w:tcMar>
            <w:hideMark/>
          </w:tcPr>
          <w:p w:rsidR="00030D5F" w:rsidRDefault="00814FC2" w:rsidP="006C0928">
            <w:pPr>
              <w:pStyle w:val="ListParagraph"/>
              <w:numPr>
                <w:ilvl w:val="0"/>
                <w:numId w:val="13"/>
              </w:numPr>
              <w:ind w:left="359"/>
              <w:rPr>
                <w:rFonts w:ascii="Arial Narrow" w:hAnsi="Arial Narrow"/>
              </w:rPr>
            </w:pPr>
            <w:r w:rsidRPr="00814FC2">
              <w:rPr>
                <w:rFonts w:ascii="Arial Narrow" w:hAnsi="Arial Narrow"/>
              </w:rPr>
              <w:t xml:space="preserve">Developing cost </w:t>
            </w:r>
            <w:r>
              <w:rPr>
                <w:rFonts w:ascii="Arial Narrow" w:hAnsi="Arial Narrow"/>
              </w:rPr>
              <w:t>and inflation</w:t>
            </w:r>
            <w:r w:rsidRPr="00814FC2">
              <w:rPr>
                <w:rFonts w:ascii="Arial Narrow" w:hAnsi="Arial Narrow"/>
              </w:rPr>
              <w:t xml:space="preserve"> histories</w:t>
            </w:r>
            <w:r w:rsidR="00645DBC">
              <w:rPr>
                <w:rFonts w:ascii="Arial Narrow" w:hAnsi="Arial Narrow"/>
              </w:rPr>
              <w:t xml:space="preserve"> offers a broad trend picture of the library’s expenditure patterns </w:t>
            </w:r>
            <w:r w:rsidR="009638E4">
              <w:rPr>
                <w:rFonts w:ascii="Arial Narrow" w:hAnsi="Arial Narrow"/>
              </w:rPr>
              <w:t xml:space="preserve">over time </w:t>
            </w:r>
            <w:r w:rsidR="00645DBC">
              <w:rPr>
                <w:rFonts w:ascii="Arial Narrow" w:hAnsi="Arial Narrow"/>
              </w:rPr>
              <w:t>for electronic databases and journal packages. Along with usage data in the process of being developed, this information also allows closer assessment of the value of spe</w:t>
            </w:r>
            <w:r w:rsidR="00BB67ED">
              <w:rPr>
                <w:rFonts w:ascii="Arial Narrow" w:hAnsi="Arial Narrow"/>
              </w:rPr>
              <w:t xml:space="preserve">cific databases and </w:t>
            </w:r>
            <w:proofErr w:type="gramStart"/>
            <w:r w:rsidR="00BB67ED">
              <w:rPr>
                <w:rFonts w:ascii="Arial Narrow" w:hAnsi="Arial Narrow"/>
              </w:rPr>
              <w:t xml:space="preserve">packages, </w:t>
            </w:r>
            <w:r w:rsidR="00645DBC">
              <w:rPr>
                <w:rFonts w:ascii="Arial Narrow" w:hAnsi="Arial Narrow"/>
              </w:rPr>
              <w:t>which in turn helps</w:t>
            </w:r>
            <w:proofErr w:type="gramEnd"/>
            <w:r w:rsidR="00645DBC">
              <w:rPr>
                <w:rFonts w:ascii="Arial Narrow" w:hAnsi="Arial Narrow"/>
              </w:rPr>
              <w:t xml:space="preserve"> the library make better-informed decisions about where to devote funds for new and ongoing materials.  Additionally, closely tracking cost histories improves our continual monitoring of expenditures, as it is now possible to identify not only what has been paid for during the fiscal year, but what has yet to be paid for.  This information permits more accurate evaluation and reassessment during the year of where the year’s remaining funds are best used.</w:t>
            </w:r>
          </w:p>
          <w:p w:rsidR="00FC5EB7" w:rsidRDefault="00645DBC" w:rsidP="006C0928">
            <w:pPr>
              <w:pStyle w:val="ListParagraph"/>
              <w:numPr>
                <w:ilvl w:val="0"/>
                <w:numId w:val="13"/>
              </w:numPr>
              <w:ind w:left="359"/>
              <w:rPr>
                <w:rFonts w:ascii="Arial Narrow" w:hAnsi="Arial Narrow"/>
              </w:rPr>
            </w:pPr>
            <w:r>
              <w:rPr>
                <w:rFonts w:ascii="Arial Narrow" w:hAnsi="Arial Narrow"/>
              </w:rPr>
              <w:t xml:space="preserve">Data on weeding help keep librarians and staff constantly apprised of progress, allowing us to adjust our pace </w:t>
            </w:r>
            <w:r w:rsidR="00FC5EB7">
              <w:rPr>
                <w:rFonts w:ascii="Arial Narrow" w:hAnsi="Arial Narrow"/>
              </w:rPr>
              <w:t>and our expectations as needed.</w:t>
            </w:r>
          </w:p>
          <w:p w:rsidR="00645DBC" w:rsidRDefault="00FC5EB7" w:rsidP="006C0928">
            <w:pPr>
              <w:pStyle w:val="ListParagraph"/>
              <w:numPr>
                <w:ilvl w:val="0"/>
                <w:numId w:val="13"/>
              </w:numPr>
              <w:ind w:left="359"/>
              <w:rPr>
                <w:rFonts w:ascii="Arial Narrow" w:hAnsi="Arial Narrow"/>
              </w:rPr>
            </w:pPr>
            <w:r>
              <w:rPr>
                <w:rFonts w:ascii="Arial Narrow" w:hAnsi="Arial Narrow"/>
              </w:rPr>
              <w:t xml:space="preserve">In combination with data on our initial list of unused </w:t>
            </w:r>
            <w:r>
              <w:rPr>
                <w:rFonts w:ascii="Arial Narrow" w:hAnsi="Arial Narrow"/>
              </w:rPr>
              <w:lastRenderedPageBreak/>
              <w:t>mate</w:t>
            </w:r>
            <w:r w:rsidR="009638E4">
              <w:rPr>
                <w:rFonts w:ascii="Arial Narrow" w:hAnsi="Arial Narrow"/>
              </w:rPr>
              <w:t>rials, the withdrawal data tell</w:t>
            </w:r>
            <w:r>
              <w:rPr>
                <w:rFonts w:ascii="Arial Narrow" w:hAnsi="Arial Narrow"/>
              </w:rPr>
              <w:t xml:space="preserve"> us that while we will finish our review of unused materials by the end of FY15, we probably will not meet the goal of withdrawing 50% of the circulating collection by then</w:t>
            </w:r>
            <w:r w:rsidR="00DC15BC">
              <w:rPr>
                <w:rFonts w:ascii="Arial Narrow" w:hAnsi="Arial Narrow"/>
              </w:rPr>
              <w:t xml:space="preserve">. </w:t>
            </w:r>
            <w:r w:rsidR="00BB67ED">
              <w:rPr>
                <w:rFonts w:ascii="Arial Narrow" w:hAnsi="Arial Narrow"/>
              </w:rPr>
              <w:t>T</w:t>
            </w:r>
            <w:r w:rsidR="00DC15BC">
              <w:rPr>
                <w:rFonts w:ascii="Arial Narrow" w:hAnsi="Arial Narrow"/>
              </w:rPr>
              <w:t xml:space="preserve">hat </w:t>
            </w:r>
            <w:r w:rsidR="00BB67ED">
              <w:rPr>
                <w:rFonts w:ascii="Arial Narrow" w:hAnsi="Arial Narrow"/>
              </w:rPr>
              <w:t xml:space="preserve">information </w:t>
            </w:r>
            <w:r>
              <w:rPr>
                <w:rFonts w:ascii="Arial Narrow" w:hAnsi="Arial Narrow"/>
              </w:rPr>
              <w:t>help</w:t>
            </w:r>
            <w:r w:rsidR="00DC15BC">
              <w:rPr>
                <w:rFonts w:ascii="Arial Narrow" w:hAnsi="Arial Narrow"/>
              </w:rPr>
              <w:t>s</w:t>
            </w:r>
            <w:r>
              <w:rPr>
                <w:rFonts w:ascii="Arial Narrow" w:hAnsi="Arial Narrow"/>
              </w:rPr>
              <w:t xml:space="preserve"> inform the process of updating our strategic-directions document. With the progress data in hand, we can start planning goals and strategies for the next round of collection review</w:t>
            </w:r>
            <w:r w:rsidR="00DC15BC">
              <w:rPr>
                <w:rFonts w:ascii="Arial Narrow" w:hAnsi="Arial Narrow"/>
              </w:rPr>
              <w:t xml:space="preserve"> and </w:t>
            </w:r>
            <w:r w:rsidR="008F40E9">
              <w:rPr>
                <w:rFonts w:ascii="Arial Narrow" w:hAnsi="Arial Narrow"/>
              </w:rPr>
              <w:t>develop</w:t>
            </w:r>
            <w:r w:rsidR="00DC15BC">
              <w:rPr>
                <w:rFonts w:ascii="Arial Narrow" w:hAnsi="Arial Narrow"/>
              </w:rPr>
              <w:t xml:space="preserve"> strategies for continuous ongoing review in the future</w:t>
            </w:r>
            <w:r>
              <w:rPr>
                <w:rFonts w:ascii="Arial Narrow" w:hAnsi="Arial Narrow"/>
              </w:rPr>
              <w:t>.</w:t>
            </w:r>
          </w:p>
          <w:p w:rsidR="00E45BD6" w:rsidRDefault="00FC5EB7" w:rsidP="006C0928">
            <w:pPr>
              <w:pStyle w:val="ListParagraph"/>
              <w:numPr>
                <w:ilvl w:val="0"/>
                <w:numId w:val="13"/>
              </w:numPr>
              <w:ind w:left="359"/>
              <w:rPr>
                <w:rFonts w:ascii="Arial Narrow" w:hAnsi="Arial Narrow"/>
              </w:rPr>
            </w:pPr>
            <w:r>
              <w:rPr>
                <w:rFonts w:ascii="Arial Narrow" w:hAnsi="Arial Narrow"/>
              </w:rPr>
              <w:t xml:space="preserve">The library exceeded its target for 75% of expenditures to be directed toward electronic resources. As cost inflation in electronic resources is lower than in print materials-- especially in periodicals and academic journals--increasing the proportion of funds devoted to electronics means lower overall cost increases, </w:t>
            </w:r>
            <w:r w:rsidR="00574286">
              <w:rPr>
                <w:rFonts w:ascii="Arial Narrow" w:hAnsi="Arial Narrow"/>
              </w:rPr>
              <w:t xml:space="preserve">making more efficient use of </w:t>
            </w:r>
            <w:r>
              <w:rPr>
                <w:rFonts w:ascii="Arial Narrow" w:hAnsi="Arial Narrow"/>
              </w:rPr>
              <w:t>acquisitions funds.</w:t>
            </w:r>
            <w:r w:rsidR="00574286">
              <w:rPr>
                <w:rFonts w:ascii="Arial Narrow" w:hAnsi="Arial Narrow"/>
              </w:rPr>
              <w:t xml:space="preserve"> The library’s incremental targets </w:t>
            </w:r>
            <w:r w:rsidR="00E45BD6">
              <w:rPr>
                <w:rFonts w:ascii="Arial Narrow" w:hAnsi="Arial Narrow"/>
              </w:rPr>
              <w:t>toward our 80% goal in FY1</w:t>
            </w:r>
            <w:r w:rsidR="009638E4">
              <w:rPr>
                <w:rFonts w:ascii="Arial Narrow" w:hAnsi="Arial Narrow"/>
              </w:rPr>
              <w:t>5 are reasonable and achievable, and</w:t>
            </w:r>
            <w:r w:rsidR="00E45BD6">
              <w:rPr>
                <w:rFonts w:ascii="Arial Narrow" w:hAnsi="Arial Narrow"/>
              </w:rPr>
              <w:t xml:space="preserve"> progress is on track to reach this goal.</w:t>
            </w:r>
          </w:p>
          <w:p w:rsidR="00E45BD6" w:rsidRDefault="00E45BD6" w:rsidP="006C0928">
            <w:pPr>
              <w:pStyle w:val="ListParagraph"/>
              <w:ind w:left="359"/>
              <w:rPr>
                <w:rFonts w:ascii="Arial Narrow" w:hAnsi="Arial Narrow"/>
              </w:rPr>
            </w:pPr>
          </w:p>
          <w:p w:rsidR="00E45BD6" w:rsidRDefault="00D50477" w:rsidP="006C0928">
            <w:pPr>
              <w:pStyle w:val="ListParagraph"/>
              <w:ind w:left="359"/>
              <w:rPr>
                <w:rFonts w:ascii="Arial Narrow" w:hAnsi="Arial Narrow"/>
              </w:rPr>
            </w:pPr>
            <w:r>
              <w:rPr>
                <w:rFonts w:ascii="Arial Narrow" w:hAnsi="Arial Narrow"/>
              </w:rPr>
              <w:t xml:space="preserve">OA </w:t>
            </w:r>
            <w:r w:rsidR="00E45BD6">
              <w:rPr>
                <w:rFonts w:ascii="Arial Narrow" w:hAnsi="Arial Narrow"/>
              </w:rPr>
              <w:t xml:space="preserve">Committee feedback on our FY11 report included questions about providing external data to support the selection of our expenditure targets. Industry standards are not available, because the proportion of funds directed to various kinds of information (e.g., books, journals, </w:t>
            </w:r>
            <w:proofErr w:type="gramStart"/>
            <w:r w:rsidR="00E45BD6">
              <w:rPr>
                <w:rFonts w:ascii="Arial Narrow" w:hAnsi="Arial Narrow"/>
              </w:rPr>
              <w:t>indexes</w:t>
            </w:r>
            <w:proofErr w:type="gramEnd"/>
            <w:r w:rsidR="00E45BD6">
              <w:rPr>
                <w:rFonts w:ascii="Arial Narrow" w:hAnsi="Arial Narrow"/>
              </w:rPr>
              <w:t xml:space="preserve">) and in various formats (e.g., electronic, print, audiovisual media, microfilm) varies widely across institutions based on curricular </w:t>
            </w:r>
            <w:r>
              <w:rPr>
                <w:rFonts w:ascii="Arial Narrow" w:hAnsi="Arial Narrow"/>
              </w:rPr>
              <w:t xml:space="preserve">and research </w:t>
            </w:r>
            <w:r w:rsidR="00E45BD6">
              <w:rPr>
                <w:rFonts w:ascii="Arial Narrow" w:hAnsi="Arial Narrow"/>
              </w:rPr>
              <w:t xml:space="preserve">foci. For example, a university with engineering programs leading to licensure, or with a medical school, would rely much more on electronic journals, standards, </w:t>
            </w:r>
            <w:r>
              <w:rPr>
                <w:rFonts w:ascii="Arial Narrow" w:hAnsi="Arial Narrow"/>
              </w:rPr>
              <w:t xml:space="preserve">and </w:t>
            </w:r>
            <w:r w:rsidR="00E45BD6">
              <w:rPr>
                <w:rFonts w:ascii="Arial Narrow" w:hAnsi="Arial Narrow"/>
              </w:rPr>
              <w:t xml:space="preserve">conference proceedings, which are much more expensive in technical fields than in the humanities. A </w:t>
            </w:r>
            <w:r>
              <w:rPr>
                <w:rFonts w:ascii="Arial Narrow" w:hAnsi="Arial Narrow"/>
              </w:rPr>
              <w:t xml:space="preserve">comprehensive </w:t>
            </w:r>
            <w:r w:rsidR="008F40E9">
              <w:rPr>
                <w:rFonts w:ascii="Arial Narrow" w:hAnsi="Arial Narrow"/>
              </w:rPr>
              <w:t xml:space="preserve">doctorate-granting </w:t>
            </w:r>
            <w:r w:rsidR="00E45BD6">
              <w:rPr>
                <w:rFonts w:ascii="Arial Narrow" w:hAnsi="Arial Narrow"/>
              </w:rPr>
              <w:t xml:space="preserve">school would focus </w:t>
            </w:r>
            <w:r>
              <w:rPr>
                <w:rFonts w:ascii="Arial Narrow" w:hAnsi="Arial Narrow"/>
              </w:rPr>
              <w:t xml:space="preserve">its </w:t>
            </w:r>
            <w:r w:rsidR="00E45BD6">
              <w:rPr>
                <w:rFonts w:ascii="Arial Narrow" w:hAnsi="Arial Narrow"/>
              </w:rPr>
              <w:t xml:space="preserve">resources </w:t>
            </w:r>
            <w:r>
              <w:rPr>
                <w:rFonts w:ascii="Arial Narrow" w:hAnsi="Arial Narrow"/>
              </w:rPr>
              <w:t xml:space="preserve">more broadly, expending significant funds also </w:t>
            </w:r>
            <w:r w:rsidR="00E45BD6">
              <w:rPr>
                <w:rFonts w:ascii="Arial Narrow" w:hAnsi="Arial Narrow"/>
              </w:rPr>
              <w:t>on print books in the humanities and social sciences, which cost considerably less than books in technical fields.</w:t>
            </w:r>
            <w:r w:rsidR="00DC15BC">
              <w:rPr>
                <w:rFonts w:ascii="Arial Narrow" w:hAnsi="Arial Narrow"/>
              </w:rPr>
              <w:t xml:space="preserve"> Thus, proportions of funds allocated to various kinds of materials aren’t standard across academic libraries.</w:t>
            </w:r>
          </w:p>
          <w:p w:rsidR="00E45BD6" w:rsidRDefault="00E45BD6" w:rsidP="006C0928">
            <w:pPr>
              <w:pStyle w:val="ListParagraph"/>
              <w:ind w:left="359"/>
              <w:rPr>
                <w:rFonts w:ascii="Arial Narrow" w:hAnsi="Arial Narrow"/>
              </w:rPr>
            </w:pPr>
          </w:p>
          <w:p w:rsidR="00E45BD6" w:rsidRDefault="00E45BD6" w:rsidP="006C0928">
            <w:pPr>
              <w:pStyle w:val="ListParagraph"/>
              <w:ind w:left="359"/>
              <w:rPr>
                <w:rFonts w:ascii="Arial Narrow" w:hAnsi="Arial Narrow"/>
              </w:rPr>
            </w:pPr>
            <w:r>
              <w:rPr>
                <w:rFonts w:ascii="Arial Narrow" w:hAnsi="Arial Narrow"/>
              </w:rPr>
              <w:t>Comparison</w:t>
            </w:r>
            <w:r w:rsidR="00DC15BC">
              <w:rPr>
                <w:rFonts w:ascii="Arial Narrow" w:hAnsi="Arial Narrow"/>
              </w:rPr>
              <w:t>s</w:t>
            </w:r>
            <w:r>
              <w:rPr>
                <w:rFonts w:ascii="Arial Narrow" w:hAnsi="Arial Narrow"/>
              </w:rPr>
              <w:t xml:space="preserve"> </w:t>
            </w:r>
            <w:r w:rsidR="00DC15BC">
              <w:rPr>
                <w:rFonts w:ascii="Arial Narrow" w:hAnsi="Arial Narrow"/>
              </w:rPr>
              <w:t xml:space="preserve">even limited to </w:t>
            </w:r>
            <w:proofErr w:type="gramStart"/>
            <w:r w:rsidR="00DC15BC">
              <w:rPr>
                <w:rFonts w:ascii="Arial Narrow" w:hAnsi="Arial Narrow"/>
              </w:rPr>
              <w:t>peer</w:t>
            </w:r>
            <w:proofErr w:type="gramEnd"/>
            <w:r w:rsidR="00DC15BC">
              <w:rPr>
                <w:rFonts w:ascii="Arial Narrow" w:hAnsi="Arial Narrow"/>
              </w:rPr>
              <w:t xml:space="preserve"> institutions are</w:t>
            </w:r>
            <w:r>
              <w:rPr>
                <w:rFonts w:ascii="Arial Narrow" w:hAnsi="Arial Narrow"/>
              </w:rPr>
              <w:t xml:space="preserve"> mathematically problematic as well; various reporting tools </w:t>
            </w:r>
            <w:r w:rsidR="00A62BCE">
              <w:rPr>
                <w:rFonts w:ascii="Arial Narrow" w:hAnsi="Arial Narrow"/>
              </w:rPr>
              <w:t>(including NCES</w:t>
            </w:r>
            <w:r w:rsidR="002F64F4">
              <w:rPr>
                <w:rFonts w:ascii="Arial Narrow" w:hAnsi="Arial Narrow"/>
              </w:rPr>
              <w:t xml:space="preserve"> analytical tools</w:t>
            </w:r>
            <w:r w:rsidR="00A62BCE">
              <w:rPr>
                <w:rFonts w:ascii="Arial Narrow" w:hAnsi="Arial Narrow"/>
              </w:rPr>
              <w:t xml:space="preserve">) </w:t>
            </w:r>
            <w:r>
              <w:rPr>
                <w:rFonts w:ascii="Arial Narrow" w:hAnsi="Arial Narrow"/>
              </w:rPr>
              <w:t xml:space="preserve">are intended to normalize data for comparison, </w:t>
            </w:r>
            <w:r w:rsidR="00070D51">
              <w:rPr>
                <w:rFonts w:ascii="Arial Narrow" w:hAnsi="Arial Narrow"/>
              </w:rPr>
              <w:t xml:space="preserve">but </w:t>
            </w:r>
            <w:r>
              <w:rPr>
                <w:rFonts w:ascii="Arial Narrow" w:hAnsi="Arial Narrow"/>
              </w:rPr>
              <w:t xml:space="preserve">as distinctions between information forms and formats become increasingly blurred, collections data and </w:t>
            </w:r>
            <w:r>
              <w:rPr>
                <w:rFonts w:ascii="Arial Narrow" w:hAnsi="Arial Narrow"/>
              </w:rPr>
              <w:lastRenderedPageBreak/>
              <w:t xml:space="preserve">expenditure </w:t>
            </w:r>
            <w:r w:rsidR="00070D51">
              <w:rPr>
                <w:rFonts w:ascii="Arial Narrow" w:hAnsi="Arial Narrow"/>
              </w:rPr>
              <w:t>relationships</w:t>
            </w:r>
            <w:r>
              <w:rPr>
                <w:rFonts w:ascii="Arial Narrow" w:hAnsi="Arial Narrow"/>
              </w:rPr>
              <w:t xml:space="preserve"> become blurred as well. </w:t>
            </w:r>
            <w:r w:rsidR="00D50477">
              <w:rPr>
                <w:rFonts w:ascii="Arial Narrow" w:hAnsi="Arial Narrow"/>
              </w:rPr>
              <w:t xml:space="preserve">Reviewing NCES Academic Library Survey data, for instance, reveals how obviously some data points are reported via inconsistent methods across institutions. </w:t>
            </w:r>
            <w:r>
              <w:rPr>
                <w:rFonts w:ascii="Arial Narrow" w:hAnsi="Arial Narrow"/>
              </w:rPr>
              <w:t xml:space="preserve">In addition, </w:t>
            </w:r>
            <w:r w:rsidR="00E11858">
              <w:rPr>
                <w:rFonts w:ascii="Arial Narrow" w:hAnsi="Arial Narrow"/>
              </w:rPr>
              <w:t xml:space="preserve">strength </w:t>
            </w:r>
            <w:r w:rsidR="00070D51">
              <w:rPr>
                <w:rFonts w:ascii="Arial Narrow" w:hAnsi="Arial Narrow"/>
              </w:rPr>
              <w:t xml:space="preserve">of institutional identity is inversely related to </w:t>
            </w:r>
            <w:proofErr w:type="gramStart"/>
            <w:r w:rsidR="00070D51">
              <w:rPr>
                <w:rFonts w:ascii="Arial Narrow" w:hAnsi="Arial Narrow"/>
              </w:rPr>
              <w:t>peer</w:t>
            </w:r>
            <w:proofErr w:type="gramEnd"/>
            <w:r w:rsidR="00070D51">
              <w:rPr>
                <w:rFonts w:ascii="Arial Narrow" w:hAnsi="Arial Narrow"/>
              </w:rPr>
              <w:t xml:space="preserve"> comparability</w:t>
            </w:r>
            <w:r w:rsidR="00E11858">
              <w:rPr>
                <w:rFonts w:ascii="Arial Narrow" w:hAnsi="Arial Narrow"/>
              </w:rPr>
              <w:t>. Rather than benchmarking against fine-grained quantitative input measures from NMU’s current</w:t>
            </w:r>
            <w:r w:rsidR="002F64F4">
              <w:rPr>
                <w:rFonts w:ascii="Arial Narrow" w:hAnsi="Arial Narrow"/>
              </w:rPr>
              <w:t>ly accepted</w:t>
            </w:r>
            <w:r w:rsidR="00E11858">
              <w:rPr>
                <w:rFonts w:ascii="Arial Narrow" w:hAnsi="Arial Narrow"/>
              </w:rPr>
              <w:t xml:space="preserve"> peers, </w:t>
            </w:r>
            <w:r w:rsidR="00D50477">
              <w:rPr>
                <w:rFonts w:ascii="Arial Narrow" w:hAnsi="Arial Narrow"/>
              </w:rPr>
              <w:t>Olson L</w:t>
            </w:r>
            <w:r w:rsidR="00070D51">
              <w:rPr>
                <w:rFonts w:ascii="Arial Narrow" w:hAnsi="Arial Narrow"/>
              </w:rPr>
              <w:t>ibrary has chosen its expenditure targets as projections</w:t>
            </w:r>
            <w:r w:rsidR="00A62BCE">
              <w:rPr>
                <w:rFonts w:ascii="Arial Narrow" w:hAnsi="Arial Narrow"/>
              </w:rPr>
              <w:t xml:space="preserve"> in line with the university’s strategic goals</w:t>
            </w:r>
            <w:r w:rsidR="00070D51">
              <w:rPr>
                <w:rFonts w:ascii="Arial Narrow" w:hAnsi="Arial Narrow"/>
              </w:rPr>
              <w:t xml:space="preserve">, </w:t>
            </w:r>
            <w:r w:rsidR="00A62BCE">
              <w:rPr>
                <w:rFonts w:ascii="Arial Narrow" w:hAnsi="Arial Narrow"/>
              </w:rPr>
              <w:t xml:space="preserve">positioning itself to be able to support </w:t>
            </w:r>
            <w:r w:rsidR="00070D51">
              <w:rPr>
                <w:rFonts w:ascii="Arial Narrow" w:hAnsi="Arial Narrow"/>
              </w:rPr>
              <w:t xml:space="preserve">the </w:t>
            </w:r>
            <w:r w:rsidR="00A62BCE">
              <w:rPr>
                <w:rFonts w:ascii="Arial Narrow" w:hAnsi="Arial Narrow"/>
              </w:rPr>
              <w:t xml:space="preserve">university’s still-developing </w:t>
            </w:r>
            <w:r w:rsidR="00070D51">
              <w:rPr>
                <w:rFonts w:ascii="Arial Narrow" w:hAnsi="Arial Narrow"/>
              </w:rPr>
              <w:t>new</w:t>
            </w:r>
            <w:r w:rsidR="00A62BCE">
              <w:rPr>
                <w:rFonts w:ascii="Arial Narrow" w:hAnsi="Arial Narrow"/>
              </w:rPr>
              <w:t xml:space="preserve"> programs, especially future programs online.</w:t>
            </w:r>
            <w:r w:rsidR="00DC15BC">
              <w:rPr>
                <w:rFonts w:ascii="Arial Narrow" w:hAnsi="Arial Narrow"/>
              </w:rPr>
              <w:t xml:space="preserve"> </w:t>
            </w:r>
            <w:r w:rsidR="00ED35E2">
              <w:rPr>
                <w:rFonts w:ascii="Arial Narrow" w:hAnsi="Arial Narrow"/>
              </w:rPr>
              <w:t>Having</w:t>
            </w:r>
            <w:r w:rsidR="002F64F4">
              <w:rPr>
                <w:rFonts w:ascii="Arial Narrow" w:hAnsi="Arial Narrow"/>
              </w:rPr>
              <w:t xml:space="preserve"> </w:t>
            </w:r>
            <w:r w:rsidR="00ED35E2">
              <w:rPr>
                <w:rFonts w:ascii="Arial Narrow" w:hAnsi="Arial Narrow"/>
              </w:rPr>
              <w:t xml:space="preserve">the needed </w:t>
            </w:r>
            <w:r w:rsidR="002F64F4">
              <w:rPr>
                <w:rFonts w:ascii="Arial Narrow" w:hAnsi="Arial Narrow"/>
              </w:rPr>
              <w:t xml:space="preserve">information resources already available to users by the time </w:t>
            </w:r>
            <w:r w:rsidR="00DC15BC">
              <w:rPr>
                <w:rFonts w:ascii="Arial Narrow" w:hAnsi="Arial Narrow"/>
              </w:rPr>
              <w:t>new academic programs actually require the</w:t>
            </w:r>
            <w:r w:rsidR="002F64F4">
              <w:rPr>
                <w:rFonts w:ascii="Arial Narrow" w:hAnsi="Arial Narrow"/>
              </w:rPr>
              <w:t>m</w:t>
            </w:r>
            <w:r w:rsidR="00ED35E2">
              <w:rPr>
                <w:rFonts w:ascii="Arial Narrow" w:hAnsi="Arial Narrow"/>
              </w:rPr>
              <w:t xml:space="preserve"> means considerable advance work for access, licensing, and/or acquisition</w:t>
            </w:r>
            <w:r w:rsidR="002F64F4">
              <w:rPr>
                <w:rFonts w:ascii="Arial Narrow" w:hAnsi="Arial Narrow"/>
              </w:rPr>
              <w:t>.</w:t>
            </w:r>
            <w:r w:rsidR="00ED35E2">
              <w:rPr>
                <w:rFonts w:ascii="Arial Narrow" w:hAnsi="Arial Narrow"/>
              </w:rPr>
              <w:t xml:space="preserve"> The funding has to be in place by the time the library begins negotiating for the </w:t>
            </w:r>
            <w:proofErr w:type="spellStart"/>
            <w:r w:rsidR="00ED35E2">
              <w:rPr>
                <w:rFonts w:ascii="Arial Narrow" w:hAnsi="Arial Narrow"/>
              </w:rPr>
              <w:t>ebooks</w:t>
            </w:r>
            <w:proofErr w:type="spellEnd"/>
            <w:r w:rsidR="00ED35E2">
              <w:rPr>
                <w:rFonts w:ascii="Arial Narrow" w:hAnsi="Arial Narrow"/>
              </w:rPr>
              <w:t xml:space="preserve">, journals, media, or other formats appropriate to the new program, which means planning for the expenditures </w:t>
            </w:r>
            <w:r w:rsidR="002C2907">
              <w:rPr>
                <w:rFonts w:ascii="Arial Narrow" w:hAnsi="Arial Narrow"/>
              </w:rPr>
              <w:t xml:space="preserve">well </w:t>
            </w:r>
            <w:r w:rsidR="00ED35E2">
              <w:rPr>
                <w:rFonts w:ascii="Arial Narrow" w:hAnsi="Arial Narrow"/>
              </w:rPr>
              <w:t>beforehand.</w:t>
            </w:r>
          </w:p>
          <w:p w:rsidR="00DE7FC8" w:rsidRDefault="00DE7FC8" w:rsidP="006C0928">
            <w:pPr>
              <w:pStyle w:val="ListParagraph"/>
              <w:numPr>
                <w:ilvl w:val="0"/>
                <w:numId w:val="13"/>
              </w:numPr>
              <w:ind w:left="359"/>
              <w:rPr>
                <w:rFonts w:ascii="Arial Narrow" w:hAnsi="Arial Narrow"/>
              </w:rPr>
            </w:pPr>
            <w:r>
              <w:rPr>
                <w:rFonts w:ascii="Arial Narrow" w:hAnsi="Arial Narrow"/>
              </w:rPr>
              <w:t xml:space="preserve">We did not meet our </w:t>
            </w:r>
            <w:r w:rsidR="00DC15BC">
              <w:rPr>
                <w:rFonts w:ascii="Arial Narrow" w:hAnsi="Arial Narrow"/>
              </w:rPr>
              <w:t xml:space="preserve">objective </w:t>
            </w:r>
            <w:r>
              <w:rPr>
                <w:rFonts w:ascii="Arial Narrow" w:hAnsi="Arial Narrow"/>
              </w:rPr>
              <w:t>of increasing expenditures for electron</w:t>
            </w:r>
            <w:r w:rsidR="00DC15BC">
              <w:rPr>
                <w:rFonts w:ascii="Arial Narrow" w:hAnsi="Arial Narrow"/>
              </w:rPr>
              <w:t>ic books by 40%. T</w:t>
            </w:r>
            <w:r>
              <w:rPr>
                <w:rFonts w:ascii="Arial Narrow" w:hAnsi="Arial Narrow"/>
              </w:rPr>
              <w:t xml:space="preserve">he </w:t>
            </w:r>
            <w:r w:rsidR="00DC15BC">
              <w:rPr>
                <w:rFonts w:ascii="Arial Narrow" w:hAnsi="Arial Narrow"/>
              </w:rPr>
              <w:t xml:space="preserve">FY12 </w:t>
            </w:r>
            <w:r>
              <w:rPr>
                <w:rFonts w:ascii="Arial Narrow" w:hAnsi="Arial Narrow"/>
              </w:rPr>
              <w:t>increase was only 27.88%, primarily because we planned for some costs that in the end we didn’t have to pay</w:t>
            </w:r>
            <w:r w:rsidR="002163D7">
              <w:rPr>
                <w:rFonts w:ascii="Arial Narrow" w:hAnsi="Arial Narrow"/>
              </w:rPr>
              <w:t xml:space="preserve"> </w:t>
            </w:r>
            <w:r w:rsidR="00DC15BC">
              <w:rPr>
                <w:rFonts w:ascii="Arial Narrow" w:hAnsi="Arial Narrow"/>
              </w:rPr>
              <w:t xml:space="preserve">when </w:t>
            </w:r>
            <w:r w:rsidR="002163D7">
              <w:rPr>
                <w:rFonts w:ascii="Arial Narrow" w:hAnsi="Arial Narrow"/>
              </w:rPr>
              <w:t>a major vendor changed its pricing structure</w:t>
            </w:r>
            <w:r>
              <w:rPr>
                <w:rFonts w:ascii="Arial Narrow" w:hAnsi="Arial Narrow"/>
              </w:rPr>
              <w:t>. The program in planning at our FY11 report (access to electronic books for which we pay only as they’re used) was successfully implemented. Close collaboration between Systems and Technical Services staff, in consultation with the Collection Development librarian and the subject liaison librarians, resulted in a highly automated and streamlined system by which we can load new book records into our online catalog and make them instantly available</w:t>
            </w:r>
            <w:r w:rsidR="00E04520">
              <w:rPr>
                <w:rFonts w:ascii="Arial Narrow" w:hAnsi="Arial Narrow"/>
              </w:rPr>
              <w:t xml:space="preserve"> both on and off campus, without devoting capital funds to purchase them outright just in case someone will need them. We are invoiced only for a portion of the purchase price when a title is used for more than five </w:t>
            </w:r>
            <w:proofErr w:type="gramStart"/>
            <w:r w:rsidR="00E04520">
              <w:rPr>
                <w:rFonts w:ascii="Arial Narrow" w:hAnsi="Arial Narrow"/>
              </w:rPr>
              <w:t>minutes,</w:t>
            </w:r>
            <w:proofErr w:type="gramEnd"/>
            <w:r w:rsidR="00E04520">
              <w:rPr>
                <w:rFonts w:ascii="Arial Narrow" w:hAnsi="Arial Narrow"/>
              </w:rPr>
              <w:t xml:space="preserve"> and for its purchase when it has been used for five minutes more than four times. The result was that at the end of FY12, we had 17,400 new </w:t>
            </w:r>
            <w:proofErr w:type="spellStart"/>
            <w:r w:rsidR="002163D7">
              <w:rPr>
                <w:rFonts w:ascii="Arial Narrow" w:hAnsi="Arial Narrow"/>
              </w:rPr>
              <w:t>e</w:t>
            </w:r>
            <w:r w:rsidR="00E04520">
              <w:rPr>
                <w:rFonts w:ascii="Arial Narrow" w:hAnsi="Arial Narrow"/>
              </w:rPr>
              <w:t>books</w:t>
            </w:r>
            <w:proofErr w:type="spellEnd"/>
            <w:r w:rsidR="00E04520">
              <w:rPr>
                <w:rFonts w:ascii="Arial Narrow" w:hAnsi="Arial Narrow"/>
              </w:rPr>
              <w:t xml:space="preserve"> available for instant use, and we had paid to purchase only nine. We paid fractions of the purchase price for fewer than five uses of an additional 128 </w:t>
            </w:r>
            <w:proofErr w:type="spellStart"/>
            <w:r w:rsidR="002163D7">
              <w:rPr>
                <w:rFonts w:ascii="Arial Narrow" w:hAnsi="Arial Narrow"/>
              </w:rPr>
              <w:t>e</w:t>
            </w:r>
            <w:r w:rsidR="00E04520">
              <w:rPr>
                <w:rFonts w:ascii="Arial Narrow" w:hAnsi="Arial Narrow"/>
              </w:rPr>
              <w:t>books</w:t>
            </w:r>
            <w:proofErr w:type="spellEnd"/>
            <w:r w:rsidR="00E04520">
              <w:rPr>
                <w:rFonts w:ascii="Arial Narrow" w:hAnsi="Arial Narrow"/>
              </w:rPr>
              <w:t xml:space="preserve">, </w:t>
            </w:r>
            <w:r w:rsidR="00827E25">
              <w:rPr>
                <w:rFonts w:ascii="Arial Narrow" w:hAnsi="Arial Narrow"/>
              </w:rPr>
              <w:t>at</w:t>
            </w:r>
            <w:r w:rsidR="00E04520">
              <w:rPr>
                <w:rFonts w:ascii="Arial Narrow" w:hAnsi="Arial Narrow"/>
              </w:rPr>
              <w:t xml:space="preserve"> a total cost </w:t>
            </w:r>
            <w:r w:rsidR="00DC15BC">
              <w:rPr>
                <w:rFonts w:ascii="Arial Narrow" w:hAnsi="Arial Narrow"/>
              </w:rPr>
              <w:t xml:space="preserve">for uses and purchases </w:t>
            </w:r>
            <w:r w:rsidR="00E04520">
              <w:rPr>
                <w:rFonts w:ascii="Arial Narrow" w:hAnsi="Arial Narrow"/>
              </w:rPr>
              <w:t xml:space="preserve">equivalent to </w:t>
            </w:r>
            <w:r w:rsidR="00DC15BC">
              <w:rPr>
                <w:rFonts w:ascii="Arial Narrow" w:hAnsi="Arial Narrow"/>
              </w:rPr>
              <w:t xml:space="preserve">buying </w:t>
            </w:r>
            <w:r w:rsidR="00E04520">
              <w:rPr>
                <w:rFonts w:ascii="Arial Narrow" w:hAnsi="Arial Narrow"/>
              </w:rPr>
              <w:t xml:space="preserve">only 36 </w:t>
            </w:r>
            <w:proofErr w:type="spellStart"/>
            <w:r w:rsidR="00E11858">
              <w:rPr>
                <w:rFonts w:ascii="Arial Narrow" w:hAnsi="Arial Narrow"/>
              </w:rPr>
              <w:t>e</w:t>
            </w:r>
            <w:r w:rsidR="00E04520">
              <w:rPr>
                <w:rFonts w:ascii="Arial Narrow" w:hAnsi="Arial Narrow"/>
              </w:rPr>
              <w:t>books</w:t>
            </w:r>
            <w:proofErr w:type="spellEnd"/>
            <w:r w:rsidR="00E04520">
              <w:rPr>
                <w:rFonts w:ascii="Arial Narrow" w:hAnsi="Arial Narrow"/>
              </w:rPr>
              <w:t xml:space="preserve"> out of </w:t>
            </w:r>
            <w:r w:rsidR="00DC15BC">
              <w:rPr>
                <w:rFonts w:ascii="Arial Narrow" w:hAnsi="Arial Narrow"/>
              </w:rPr>
              <w:t xml:space="preserve">the 17,400 available. </w:t>
            </w:r>
            <w:r w:rsidR="002163D7">
              <w:rPr>
                <w:rFonts w:ascii="Arial Narrow" w:hAnsi="Arial Narrow"/>
              </w:rPr>
              <w:t xml:space="preserve">This data tells us that the program is tremendously efficient and </w:t>
            </w:r>
            <w:r w:rsidR="002163D7">
              <w:rPr>
                <w:rFonts w:ascii="Arial Narrow" w:hAnsi="Arial Narrow"/>
              </w:rPr>
              <w:lastRenderedPageBreak/>
              <w:t xml:space="preserve">worth expanding. As the </w:t>
            </w:r>
            <w:r w:rsidR="00196A82">
              <w:rPr>
                <w:rFonts w:ascii="Arial Narrow" w:hAnsi="Arial Narrow"/>
              </w:rPr>
              <w:t xml:space="preserve">number of </w:t>
            </w:r>
            <w:proofErr w:type="spellStart"/>
            <w:r w:rsidR="00196A82">
              <w:rPr>
                <w:rFonts w:ascii="Arial Narrow" w:hAnsi="Arial Narrow"/>
              </w:rPr>
              <w:t>e</w:t>
            </w:r>
            <w:r w:rsidR="002163D7">
              <w:rPr>
                <w:rFonts w:ascii="Arial Narrow" w:hAnsi="Arial Narrow"/>
              </w:rPr>
              <w:t>books</w:t>
            </w:r>
            <w:proofErr w:type="spellEnd"/>
            <w:r w:rsidR="002163D7">
              <w:rPr>
                <w:rFonts w:ascii="Arial Narrow" w:hAnsi="Arial Narrow"/>
              </w:rPr>
              <w:t xml:space="preserve"> available increase</w:t>
            </w:r>
            <w:r w:rsidR="00196A82">
              <w:rPr>
                <w:rFonts w:ascii="Arial Narrow" w:hAnsi="Arial Narrow"/>
              </w:rPr>
              <w:t>s</w:t>
            </w:r>
            <w:r w:rsidR="002163D7">
              <w:rPr>
                <w:rFonts w:ascii="Arial Narrow" w:hAnsi="Arial Narrow"/>
              </w:rPr>
              <w:t xml:space="preserve"> weekly, and as users discover that they’re available, we expect further growth in the program; as we continue to monitor usage and expenditures, we will be able to continue projecting and alloc</w:t>
            </w:r>
            <w:r w:rsidR="00196A82">
              <w:rPr>
                <w:rFonts w:ascii="Arial Narrow" w:hAnsi="Arial Narrow"/>
              </w:rPr>
              <w:t>ating our funds with increasing efficiency</w:t>
            </w:r>
            <w:r w:rsidR="002163D7">
              <w:rPr>
                <w:rFonts w:ascii="Arial Narrow" w:hAnsi="Arial Narrow"/>
              </w:rPr>
              <w:t>.</w:t>
            </w:r>
          </w:p>
          <w:p w:rsidR="00E45BD6" w:rsidRDefault="00A62BCE" w:rsidP="006C0928">
            <w:pPr>
              <w:pStyle w:val="ListParagraph"/>
              <w:numPr>
                <w:ilvl w:val="0"/>
                <w:numId w:val="13"/>
              </w:numPr>
              <w:ind w:left="359"/>
              <w:rPr>
                <w:rFonts w:ascii="Arial Narrow" w:hAnsi="Arial Narrow"/>
              </w:rPr>
            </w:pPr>
            <w:r>
              <w:rPr>
                <w:rFonts w:ascii="Arial Narrow" w:hAnsi="Arial Narrow"/>
              </w:rPr>
              <w:t xml:space="preserve">Usage data of the library’s physical resources tell us that the print collection is still in demand, and that despite being technologically comfortable and increasingly connected online, today’s undergraduates are still the heaviest users of the </w:t>
            </w:r>
            <w:r w:rsidR="00D67D72">
              <w:rPr>
                <w:rFonts w:ascii="Arial Narrow" w:hAnsi="Arial Narrow"/>
              </w:rPr>
              <w:t xml:space="preserve">library and its </w:t>
            </w:r>
            <w:r>
              <w:rPr>
                <w:rFonts w:ascii="Arial Narrow" w:hAnsi="Arial Narrow"/>
              </w:rPr>
              <w:t xml:space="preserve">print collections. The data tell us </w:t>
            </w:r>
            <w:r w:rsidR="00DE7FC8">
              <w:rPr>
                <w:rFonts w:ascii="Arial Narrow" w:hAnsi="Arial Narrow"/>
              </w:rPr>
              <w:t xml:space="preserve">also </w:t>
            </w:r>
            <w:r>
              <w:rPr>
                <w:rFonts w:ascii="Arial Narrow" w:hAnsi="Arial Narrow"/>
              </w:rPr>
              <w:t xml:space="preserve">that library space is in very heavy demand--study rooms, for instance, were used </w:t>
            </w:r>
            <w:r w:rsidR="00DE7FC8">
              <w:rPr>
                <w:rFonts w:ascii="Arial Narrow" w:hAnsi="Arial Narrow"/>
              </w:rPr>
              <w:t xml:space="preserve">6,900 times in FY11. </w:t>
            </w:r>
            <w:r w:rsidR="002C2907">
              <w:rPr>
                <w:rFonts w:ascii="Arial Narrow" w:hAnsi="Arial Narrow"/>
              </w:rPr>
              <w:t>T</w:t>
            </w:r>
            <w:r w:rsidR="00DE7FC8">
              <w:rPr>
                <w:rFonts w:ascii="Arial Narrow" w:hAnsi="Arial Narrow"/>
              </w:rPr>
              <w:t xml:space="preserve">his data further </w:t>
            </w:r>
            <w:r w:rsidR="0093258C">
              <w:rPr>
                <w:rFonts w:ascii="Arial Narrow" w:hAnsi="Arial Narrow"/>
              </w:rPr>
              <w:t xml:space="preserve">revealed </w:t>
            </w:r>
            <w:r w:rsidR="00DE7FC8">
              <w:rPr>
                <w:rFonts w:ascii="Arial Narrow" w:hAnsi="Arial Narrow"/>
              </w:rPr>
              <w:t xml:space="preserve">that while we can track usage, we do not yet track the volume of requests for study rooms that we can’t fulfill because they’re all in use at a given time. We will need to develop that data in order to determine how much more study space is needed and begin planning how to provide it. </w:t>
            </w:r>
          </w:p>
          <w:p w:rsidR="00DE7FC8" w:rsidRDefault="00DE7FC8" w:rsidP="006C0928">
            <w:pPr>
              <w:pStyle w:val="ListParagraph"/>
              <w:spacing w:line="276" w:lineRule="auto"/>
              <w:ind w:left="359"/>
              <w:rPr>
                <w:rFonts w:ascii="Arial Narrow" w:hAnsi="Arial Narrow"/>
              </w:rPr>
            </w:pPr>
          </w:p>
          <w:p w:rsidR="00E45BD6" w:rsidRDefault="00DE7FC8" w:rsidP="006C0928">
            <w:pPr>
              <w:pStyle w:val="ListParagraph"/>
              <w:ind w:left="359"/>
              <w:rPr>
                <w:rFonts w:ascii="Arial Narrow" w:hAnsi="Arial Narrow"/>
              </w:rPr>
            </w:pPr>
            <w:r w:rsidRPr="00DE7FC8">
              <w:rPr>
                <w:rFonts w:ascii="Arial Narrow" w:hAnsi="Arial Narrow"/>
              </w:rPr>
              <w:t xml:space="preserve">We need also to continue the process of developing usage data for our electronic databases, journals, and </w:t>
            </w:r>
            <w:proofErr w:type="spellStart"/>
            <w:r w:rsidRPr="00DE7FC8">
              <w:rPr>
                <w:rFonts w:ascii="Arial Narrow" w:hAnsi="Arial Narrow"/>
              </w:rPr>
              <w:t>ebooks</w:t>
            </w:r>
            <w:proofErr w:type="spellEnd"/>
            <w:r w:rsidRPr="00DE7FC8">
              <w:rPr>
                <w:rFonts w:ascii="Arial Narrow" w:hAnsi="Arial Narrow"/>
              </w:rPr>
              <w:t xml:space="preserve">, in order to build a more complete picture of how all the library’s information resources are used. Electronic usage data will augment our usage data on print and other materials, and will help </w:t>
            </w:r>
            <w:r w:rsidR="0093258C">
              <w:rPr>
                <w:rFonts w:ascii="Arial Narrow" w:hAnsi="Arial Narrow"/>
              </w:rPr>
              <w:t xml:space="preserve">better </w:t>
            </w:r>
            <w:r w:rsidRPr="00DE7FC8">
              <w:rPr>
                <w:rFonts w:ascii="Arial Narrow" w:hAnsi="Arial Narrow"/>
              </w:rPr>
              <w:t>describe both the role of the library on campus and its value.</w:t>
            </w:r>
          </w:p>
          <w:p w:rsidR="00FC5EB7" w:rsidRPr="00814FC2" w:rsidRDefault="00FC5EB7" w:rsidP="006C0928">
            <w:pPr>
              <w:pStyle w:val="ListParagraph"/>
              <w:ind w:left="0"/>
              <w:rPr>
                <w:rFonts w:ascii="Arial Narrow" w:hAnsi="Arial Narrow"/>
              </w:rPr>
            </w:pPr>
          </w:p>
        </w:tc>
      </w:tr>
      <w:tr w:rsidR="00030D5F" w:rsidTr="008D4369">
        <w:trPr>
          <w:trHeight w:val="575"/>
        </w:trPr>
        <w:tc>
          <w:tcPr>
            <w:tcW w:w="4591" w:type="dxa"/>
            <w:tcMar>
              <w:top w:w="0" w:type="dxa"/>
              <w:left w:w="108" w:type="dxa"/>
              <w:bottom w:w="0" w:type="dxa"/>
              <w:right w:w="108" w:type="dxa"/>
            </w:tcMar>
            <w:vAlign w:val="center"/>
            <w:hideMark/>
          </w:tcPr>
          <w:p w:rsidR="00030D5F" w:rsidRDefault="00030D5F">
            <w:pPr>
              <w:spacing w:before="120" w:after="120" w:line="276" w:lineRule="auto"/>
              <w:rPr>
                <w:rFonts w:ascii="Arial Narrow" w:hAnsi="Arial Narrow"/>
                <w:b/>
                <w:bCs/>
                <w:sz w:val="24"/>
                <w:szCs w:val="24"/>
              </w:rPr>
            </w:pPr>
            <w:r>
              <w:rPr>
                <w:rFonts w:ascii="Arial Narrow" w:hAnsi="Arial Narrow"/>
                <w:b/>
                <w:bCs/>
              </w:rPr>
              <w:lastRenderedPageBreak/>
              <w:t xml:space="preserve">Administrative Objective #2 </w:t>
            </w:r>
            <w:r>
              <w:rPr>
                <w:rFonts w:ascii="Arial Narrow" w:hAnsi="Arial Narrow"/>
                <w:i/>
                <w:iCs/>
              </w:rPr>
              <w:t>(State a 1-2 year objective intended to improve a unit process, service, or output.)</w:t>
            </w:r>
          </w:p>
        </w:tc>
        <w:tc>
          <w:tcPr>
            <w:tcW w:w="270" w:type="dxa"/>
            <w:tcMar>
              <w:top w:w="0" w:type="dxa"/>
              <w:left w:w="108" w:type="dxa"/>
              <w:bottom w:w="0" w:type="dxa"/>
              <w:right w:w="108" w:type="dxa"/>
            </w:tcMar>
            <w:vAlign w:val="center"/>
          </w:tcPr>
          <w:p w:rsidR="00030D5F" w:rsidRDefault="00030D5F">
            <w:pPr>
              <w:spacing w:before="120" w:after="120" w:line="276" w:lineRule="auto"/>
              <w:rPr>
                <w:rFonts w:ascii="Arial Narrow" w:hAnsi="Arial Narrow"/>
                <w:sz w:val="24"/>
                <w:szCs w:val="24"/>
              </w:rPr>
            </w:pPr>
          </w:p>
        </w:tc>
        <w:tc>
          <w:tcPr>
            <w:tcW w:w="4715" w:type="dxa"/>
            <w:tcMar>
              <w:top w:w="0" w:type="dxa"/>
              <w:left w:w="108" w:type="dxa"/>
              <w:bottom w:w="0" w:type="dxa"/>
              <w:right w:w="108" w:type="dxa"/>
            </w:tcMar>
            <w:hideMark/>
          </w:tcPr>
          <w:p w:rsidR="00030D5F" w:rsidRDefault="00030D5F" w:rsidP="008D4369">
            <w:pPr>
              <w:spacing w:before="120" w:after="120" w:line="276" w:lineRule="auto"/>
              <w:rPr>
                <w:rFonts w:ascii="Arial Narrow" w:hAnsi="Arial Narrow"/>
                <w:b/>
                <w:bCs/>
                <w:sz w:val="24"/>
                <w:szCs w:val="24"/>
              </w:rPr>
            </w:pPr>
            <w:r>
              <w:rPr>
                <w:rFonts w:ascii="Arial Narrow" w:hAnsi="Arial Narrow"/>
                <w:b/>
                <w:bCs/>
              </w:rPr>
              <w:t xml:space="preserve">Means/Evidence of Assessment for Objective </w:t>
            </w:r>
          </w:p>
        </w:tc>
      </w:tr>
    </w:tbl>
    <w:p w:rsidR="00030D5F" w:rsidRDefault="00030D5F" w:rsidP="00030D5F">
      <w:pPr>
        <w:rPr>
          <w:rFonts w:ascii="Times New Roman" w:eastAsia="Times New Roman" w:hAnsi="Times New Roman" w:cs="Times New Roman"/>
          <w:vanish/>
          <w:sz w:val="24"/>
          <w:szCs w:val="24"/>
        </w:rPr>
      </w:pPr>
    </w:p>
    <w:tbl>
      <w:tblPr>
        <w:tblW w:w="0" w:type="auto"/>
        <w:tblLayout w:type="fixed"/>
        <w:tblCellMar>
          <w:left w:w="0" w:type="dxa"/>
          <w:right w:w="0" w:type="dxa"/>
        </w:tblCellMar>
        <w:tblLook w:val="04A0" w:firstRow="1" w:lastRow="0" w:firstColumn="1" w:lastColumn="0" w:noHBand="0" w:noVBand="1"/>
      </w:tblPr>
      <w:tblGrid>
        <w:gridCol w:w="4788"/>
        <w:gridCol w:w="236"/>
        <w:gridCol w:w="4552"/>
      </w:tblGrid>
      <w:tr w:rsidR="00030D5F" w:rsidTr="006C0928">
        <w:tc>
          <w:tcPr>
            <w:tcW w:w="4788" w:type="dxa"/>
            <w:shd w:val="clear" w:color="auto" w:fill="F2F2F2"/>
            <w:tcMar>
              <w:top w:w="0" w:type="dxa"/>
              <w:left w:w="108" w:type="dxa"/>
              <w:bottom w:w="0" w:type="dxa"/>
              <w:right w:w="108" w:type="dxa"/>
            </w:tcMar>
          </w:tcPr>
          <w:p w:rsidR="00030D5F" w:rsidRDefault="00030D5F" w:rsidP="006C0928">
            <w:pPr>
              <w:rPr>
                <w:rFonts w:ascii="Arial Narrow" w:hAnsi="Arial Narrow"/>
                <w:sz w:val="24"/>
                <w:szCs w:val="24"/>
              </w:rPr>
            </w:pPr>
            <w:proofErr w:type="gramStart"/>
            <w:r>
              <w:rPr>
                <w:rFonts w:ascii="Arial Narrow" w:hAnsi="Arial Narrow"/>
                <w:i/>
                <w:iCs/>
              </w:rPr>
              <w:t>Objective</w:t>
            </w:r>
            <w:r>
              <w:rPr>
                <w:rFonts w:ascii="Arial Narrow" w:hAnsi="Arial Narrow"/>
              </w:rPr>
              <w:t xml:space="preserve"> :</w:t>
            </w:r>
            <w:proofErr w:type="gramEnd"/>
            <w:r>
              <w:rPr>
                <w:rFonts w:ascii="Arial Narrow" w:hAnsi="Arial Narrow"/>
              </w:rPr>
              <w:t>  Assess the effectiveness of the three library instruction delivery modes: face-to-face only, hybrid (combination of face-to-face and embedded in the course management system) and embedded in the course management system only</w:t>
            </w:r>
            <w:r w:rsidR="009816D5">
              <w:rPr>
                <w:rFonts w:ascii="Arial Narrow" w:hAnsi="Arial Narrow"/>
              </w:rPr>
              <w:t>.</w:t>
            </w:r>
          </w:p>
          <w:p w:rsidR="00030D5F" w:rsidRDefault="00030D5F">
            <w:pPr>
              <w:spacing w:line="276" w:lineRule="auto"/>
              <w:rPr>
                <w:rFonts w:ascii="Arial Narrow" w:hAnsi="Arial Narrow"/>
              </w:rPr>
            </w:pPr>
          </w:p>
          <w:p w:rsidR="00030D5F" w:rsidRDefault="00030D5F">
            <w:pPr>
              <w:spacing w:line="276" w:lineRule="auto"/>
              <w:rPr>
                <w:rFonts w:ascii="Arial Narrow" w:hAnsi="Arial Narrow"/>
              </w:rPr>
            </w:pPr>
          </w:p>
          <w:p w:rsidR="00030D5F" w:rsidRDefault="00030D5F">
            <w:pPr>
              <w:spacing w:line="276" w:lineRule="auto"/>
              <w:rPr>
                <w:rFonts w:ascii="Arial Narrow" w:hAnsi="Arial Narrow"/>
              </w:rPr>
            </w:pPr>
            <w:r>
              <w:rPr>
                <w:rFonts w:ascii="Arial Narrow" w:hAnsi="Arial Narrow"/>
                <w:i/>
                <w:iCs/>
              </w:rPr>
              <w:t>Rationale (Why you are setting this objective; mark with “X”)</w:t>
            </w:r>
            <w:r>
              <w:rPr>
                <w:rFonts w:ascii="Arial Narrow" w:hAnsi="Arial Narrow"/>
              </w:rPr>
              <w:t>:</w:t>
            </w:r>
          </w:p>
          <w:p w:rsidR="00030D5F" w:rsidRDefault="00030D5F">
            <w:pPr>
              <w:spacing w:line="276" w:lineRule="auto"/>
              <w:rPr>
                <w:rFonts w:ascii="Arial Narrow" w:hAnsi="Arial Narrow"/>
              </w:rPr>
            </w:pPr>
            <w:r>
              <w:rPr>
                <w:rFonts w:ascii="Arial Narrow" w:hAnsi="Arial Narrow"/>
                <w:u w:val="single"/>
              </w:rPr>
              <w:t>X</w:t>
            </w:r>
            <w:r w:rsidR="00D41D6B">
              <w:rPr>
                <w:rFonts w:ascii="Arial Narrow" w:hAnsi="Arial Narrow"/>
                <w:u w:val="single"/>
              </w:rPr>
              <w:t xml:space="preserve"> </w:t>
            </w:r>
            <w:r>
              <w:rPr>
                <w:rFonts w:ascii="Arial Narrow" w:hAnsi="Arial Narrow"/>
              </w:rPr>
              <w:t xml:space="preserve">Effectiveness/quality action </w:t>
            </w:r>
            <w:r>
              <w:rPr>
                <w:rFonts w:ascii="Symbol" w:hAnsi="Symbol"/>
                <w:u w:val="single"/>
              </w:rPr>
              <w:t></w:t>
            </w:r>
            <w:r>
              <w:rPr>
                <w:rFonts w:ascii="Arial Narrow" w:hAnsi="Arial Narrow"/>
              </w:rPr>
              <w:t xml:space="preserve"> Efficiency/cost action   </w:t>
            </w:r>
          </w:p>
          <w:p w:rsidR="00030D5F" w:rsidRDefault="00030D5F">
            <w:pPr>
              <w:spacing w:line="276" w:lineRule="auto"/>
              <w:rPr>
                <w:rFonts w:ascii="Arial Narrow" w:hAnsi="Arial Narrow"/>
              </w:rPr>
            </w:pPr>
            <w:r>
              <w:rPr>
                <w:rFonts w:ascii="Symbol" w:hAnsi="Symbol"/>
                <w:u w:val="single"/>
              </w:rPr>
              <w:t></w:t>
            </w:r>
            <w:r>
              <w:rPr>
                <w:rFonts w:ascii="Arial Narrow" w:hAnsi="Arial Narrow"/>
                <w:u w:val="single"/>
              </w:rPr>
              <w:t xml:space="preserve"> </w:t>
            </w:r>
            <w:r>
              <w:rPr>
                <w:rFonts w:ascii="Arial Narrow" w:hAnsi="Arial Narrow"/>
              </w:rPr>
              <w:t xml:space="preserve">Compliance issue </w:t>
            </w:r>
            <w:r>
              <w:rPr>
                <w:rFonts w:ascii="Symbol" w:hAnsi="Symbol"/>
                <w:u w:val="single"/>
              </w:rPr>
              <w:t></w:t>
            </w:r>
            <w:r>
              <w:rPr>
                <w:rFonts w:ascii="Arial Narrow" w:hAnsi="Arial Narrow"/>
              </w:rPr>
              <w:t xml:space="preserve"> Satisfaction measure  </w:t>
            </w:r>
            <w:r>
              <w:rPr>
                <w:rFonts w:ascii="Arial Narrow" w:hAnsi="Arial Narrow"/>
                <w:u w:val="single"/>
              </w:rPr>
              <w:t>X</w:t>
            </w:r>
            <w:r>
              <w:rPr>
                <w:rFonts w:ascii="Arial Narrow" w:hAnsi="Arial Narrow"/>
              </w:rPr>
              <w:t xml:space="preserve"> Create baseline  </w:t>
            </w:r>
          </w:p>
          <w:p w:rsidR="00030D5F" w:rsidRDefault="00030D5F">
            <w:pPr>
              <w:spacing w:line="276" w:lineRule="auto"/>
              <w:rPr>
                <w:rFonts w:ascii="Arial Narrow" w:hAnsi="Arial Narrow"/>
              </w:rPr>
            </w:pPr>
            <w:r>
              <w:rPr>
                <w:rFonts w:ascii="Symbol" w:hAnsi="Symbol"/>
                <w:u w:val="single"/>
              </w:rPr>
              <w:t></w:t>
            </w:r>
            <w:r>
              <w:rPr>
                <w:rFonts w:ascii="Arial Narrow" w:hAnsi="Arial Narrow"/>
              </w:rPr>
              <w:t xml:space="preserve"> Other (explain): </w:t>
            </w:r>
          </w:p>
          <w:p w:rsidR="00030D5F" w:rsidRDefault="00030D5F">
            <w:pPr>
              <w:spacing w:line="276" w:lineRule="auto"/>
              <w:rPr>
                <w:rFonts w:ascii="Arial Narrow" w:hAnsi="Arial Narrow"/>
              </w:rPr>
            </w:pPr>
          </w:p>
          <w:p w:rsidR="00030D5F" w:rsidRDefault="00030D5F">
            <w:pPr>
              <w:spacing w:line="276" w:lineRule="auto"/>
              <w:rPr>
                <w:rFonts w:ascii="Arial Narrow" w:hAnsi="Arial Narrow"/>
              </w:rPr>
            </w:pPr>
            <w:r>
              <w:rPr>
                <w:rFonts w:ascii="Arial Narrow" w:hAnsi="Arial Narrow"/>
                <w:i/>
                <w:iCs/>
              </w:rPr>
              <w:lastRenderedPageBreak/>
              <w:t>Does this objective relate to a Road Map goal? (Refer to last page for the Road Map goals). If yes, type the related Road Map codes here</w:t>
            </w:r>
            <w:r>
              <w:rPr>
                <w:rFonts w:ascii="Arial Narrow" w:hAnsi="Arial Narrow"/>
              </w:rPr>
              <w:t>:  CA1</w:t>
            </w:r>
          </w:p>
          <w:p w:rsidR="00030D5F" w:rsidRDefault="00030D5F">
            <w:pPr>
              <w:spacing w:line="276" w:lineRule="auto"/>
              <w:rPr>
                <w:rFonts w:ascii="Arial Narrow" w:hAnsi="Arial Narrow"/>
                <w:sz w:val="24"/>
                <w:szCs w:val="24"/>
              </w:rPr>
            </w:pPr>
          </w:p>
        </w:tc>
        <w:tc>
          <w:tcPr>
            <w:tcW w:w="236" w:type="dxa"/>
            <w:tcMar>
              <w:top w:w="0" w:type="dxa"/>
              <w:left w:w="108" w:type="dxa"/>
              <w:bottom w:w="0" w:type="dxa"/>
              <w:right w:w="108" w:type="dxa"/>
            </w:tcMar>
          </w:tcPr>
          <w:p w:rsidR="00030D5F" w:rsidRDefault="00030D5F">
            <w:pPr>
              <w:spacing w:line="276" w:lineRule="auto"/>
              <w:rPr>
                <w:rFonts w:ascii="Arial Narrow" w:hAnsi="Arial Narrow"/>
                <w:sz w:val="24"/>
                <w:szCs w:val="24"/>
              </w:rPr>
            </w:pPr>
          </w:p>
        </w:tc>
        <w:tc>
          <w:tcPr>
            <w:tcW w:w="4552" w:type="dxa"/>
            <w:shd w:val="clear" w:color="auto" w:fill="F2F2F2"/>
            <w:tcMar>
              <w:top w:w="0" w:type="dxa"/>
              <w:left w:w="108" w:type="dxa"/>
              <w:bottom w:w="0" w:type="dxa"/>
              <w:right w:w="108" w:type="dxa"/>
            </w:tcMar>
          </w:tcPr>
          <w:p w:rsidR="00030D5F" w:rsidRDefault="00030D5F">
            <w:pPr>
              <w:pStyle w:val="Default"/>
              <w:spacing w:line="276" w:lineRule="auto"/>
              <w:rPr>
                <w:rFonts w:ascii="Arial Narrow" w:hAnsi="Arial Narrow"/>
                <w:sz w:val="22"/>
                <w:szCs w:val="22"/>
              </w:rPr>
            </w:pPr>
            <w:r>
              <w:rPr>
                <w:rFonts w:ascii="Arial Narrow" w:hAnsi="Arial Narrow"/>
                <w:i/>
                <w:iCs/>
                <w:sz w:val="22"/>
                <w:szCs w:val="22"/>
              </w:rPr>
              <w:t>Describe timetable plans to achieve objective</w:t>
            </w:r>
            <w:r>
              <w:rPr>
                <w:rFonts w:ascii="Arial Narrow" w:hAnsi="Arial Narrow"/>
                <w:sz w:val="22"/>
                <w:szCs w:val="22"/>
              </w:rPr>
              <w:t>.</w:t>
            </w:r>
          </w:p>
          <w:p w:rsidR="00030D5F" w:rsidRDefault="00030D5F" w:rsidP="0047221C">
            <w:pPr>
              <w:pStyle w:val="Default"/>
              <w:rPr>
                <w:rFonts w:ascii="Arial Narrow" w:hAnsi="Arial Narrow"/>
                <w:sz w:val="22"/>
                <w:szCs w:val="22"/>
              </w:rPr>
            </w:pPr>
            <w:r>
              <w:rPr>
                <w:rFonts w:ascii="Arial Narrow" w:hAnsi="Arial Narrow"/>
                <w:sz w:val="22"/>
                <w:szCs w:val="22"/>
              </w:rPr>
              <w:t>a. An assessment instrument will be written to measure student learning, and a medium and procedure will be chosen for its dissemination and collection.</w:t>
            </w:r>
            <w:r w:rsidR="009816D5">
              <w:rPr>
                <w:rFonts w:ascii="Arial Narrow" w:hAnsi="Arial Narrow"/>
                <w:sz w:val="22"/>
                <w:szCs w:val="22"/>
              </w:rPr>
              <w:t xml:space="preserve"> </w:t>
            </w:r>
            <w:r w:rsidR="009816D5" w:rsidRPr="00133572">
              <w:rPr>
                <w:rFonts w:ascii="Arial Narrow" w:hAnsi="Arial Narrow"/>
                <w:sz w:val="22"/>
                <w:szCs w:val="22"/>
              </w:rPr>
              <w:t>(June – November 2011)</w:t>
            </w:r>
            <w:r w:rsidR="009816D5">
              <w:rPr>
                <w:rFonts w:ascii="Arial Narrow" w:hAnsi="Arial Narrow"/>
                <w:sz w:val="22"/>
                <w:szCs w:val="22"/>
              </w:rPr>
              <w:t xml:space="preserve"> </w:t>
            </w:r>
          </w:p>
          <w:p w:rsidR="00133572" w:rsidRDefault="00133572">
            <w:pPr>
              <w:pStyle w:val="Default"/>
              <w:spacing w:line="276" w:lineRule="auto"/>
              <w:rPr>
                <w:rFonts w:ascii="Arial Narrow" w:hAnsi="Arial Narrow"/>
                <w:sz w:val="22"/>
                <w:szCs w:val="22"/>
              </w:rPr>
            </w:pPr>
          </w:p>
          <w:p w:rsidR="00705C30" w:rsidRDefault="00030D5F" w:rsidP="00705C30">
            <w:pPr>
              <w:pStyle w:val="Default"/>
              <w:rPr>
                <w:rFonts w:ascii="Arial Narrow" w:hAnsi="Arial Narrow"/>
                <w:sz w:val="22"/>
                <w:szCs w:val="22"/>
              </w:rPr>
            </w:pPr>
            <w:r>
              <w:rPr>
                <w:rFonts w:ascii="Arial Narrow" w:hAnsi="Arial Narrow"/>
                <w:sz w:val="22"/>
                <w:szCs w:val="22"/>
              </w:rPr>
              <w:t xml:space="preserve">b. </w:t>
            </w:r>
            <w:r w:rsidR="00705C30">
              <w:rPr>
                <w:rFonts w:ascii="Arial Narrow" w:hAnsi="Arial Narrow"/>
                <w:sz w:val="22"/>
                <w:szCs w:val="22"/>
              </w:rPr>
              <w:t>The assessment instrument and its method of dissemination will be used on three Nursing courses (one for each instruction delivery method) during the Fall and Winter semesters in order to evaluate its practicality for each instruction method and its potential for use across the curriculum.</w:t>
            </w:r>
          </w:p>
          <w:p w:rsidR="00705C30" w:rsidRDefault="00705C30" w:rsidP="00705C30">
            <w:pPr>
              <w:pStyle w:val="Default"/>
              <w:rPr>
                <w:rFonts w:ascii="Arial Narrow" w:hAnsi="Arial Narrow"/>
                <w:sz w:val="22"/>
                <w:szCs w:val="22"/>
              </w:rPr>
            </w:pPr>
          </w:p>
          <w:p w:rsidR="00030D5F" w:rsidRDefault="00133572" w:rsidP="0047221C">
            <w:pPr>
              <w:pStyle w:val="Default"/>
              <w:spacing w:after="240"/>
              <w:rPr>
                <w:rFonts w:ascii="Arial Narrow" w:hAnsi="Arial Narrow"/>
                <w:sz w:val="22"/>
                <w:szCs w:val="22"/>
              </w:rPr>
            </w:pPr>
            <w:r>
              <w:rPr>
                <w:rFonts w:ascii="Arial Narrow" w:hAnsi="Arial Narrow"/>
                <w:sz w:val="22"/>
                <w:szCs w:val="22"/>
              </w:rPr>
              <w:t>c. T</w:t>
            </w:r>
            <w:r w:rsidR="00030D5F">
              <w:rPr>
                <w:rFonts w:ascii="Arial Narrow" w:hAnsi="Arial Narrow"/>
                <w:sz w:val="22"/>
                <w:szCs w:val="22"/>
              </w:rPr>
              <w:t xml:space="preserve">he method of delivery will be considered effective if 75% of students are able to complete their library </w:t>
            </w:r>
            <w:r w:rsidR="00030D5F">
              <w:rPr>
                <w:rFonts w:ascii="Arial Narrow" w:hAnsi="Arial Narrow"/>
                <w:sz w:val="22"/>
                <w:szCs w:val="22"/>
              </w:rPr>
              <w:lastRenderedPageBreak/>
              <w:t>research successfully, based on the information gathered by the assessment instrument.</w:t>
            </w:r>
          </w:p>
          <w:p w:rsidR="00B27FDE" w:rsidRDefault="00030D5F" w:rsidP="006C0928">
            <w:pPr>
              <w:pStyle w:val="Default"/>
              <w:rPr>
                <w:rFonts w:ascii="Arial Narrow" w:hAnsi="Arial Narrow"/>
                <w:sz w:val="22"/>
                <w:szCs w:val="22"/>
              </w:rPr>
            </w:pPr>
            <w:r>
              <w:rPr>
                <w:rFonts w:ascii="Arial Narrow" w:hAnsi="Arial Narrow"/>
                <w:i/>
                <w:iCs/>
                <w:sz w:val="22"/>
                <w:szCs w:val="22"/>
              </w:rPr>
              <w:t>Beyond completing the above steps, how will you judge whether the objective was a success?</w:t>
            </w:r>
            <w:r>
              <w:rPr>
                <w:rStyle w:val="EndnoteReference"/>
                <w:rFonts w:ascii="Arial Narrow" w:hAnsi="Arial Narrow"/>
                <w:b/>
                <w:bCs/>
                <w:i/>
                <w:iCs/>
                <w:sz w:val="22"/>
                <w:szCs w:val="22"/>
              </w:rPr>
              <w:endnoteReference w:customMarkFollows="1" w:id="1"/>
              <w:t>[i]</w:t>
            </w:r>
            <w:r>
              <w:rPr>
                <w:rFonts w:ascii="Arial Narrow" w:hAnsi="Arial Narrow"/>
                <w:i/>
                <w:iCs/>
                <w:sz w:val="22"/>
                <w:szCs w:val="22"/>
              </w:rPr>
              <w:t xml:space="preserve">    Examples: If the rationale was Efficiency/cost, what </w:t>
            </w:r>
            <w:proofErr w:type="gramStart"/>
            <w:r>
              <w:rPr>
                <w:rFonts w:ascii="Arial Narrow" w:hAnsi="Arial Narrow"/>
                <w:i/>
                <w:iCs/>
                <w:sz w:val="22"/>
                <w:szCs w:val="22"/>
              </w:rPr>
              <w:t>is the desired and/or minimum target criteria</w:t>
            </w:r>
            <w:proofErr w:type="gramEnd"/>
            <w:r>
              <w:rPr>
                <w:rFonts w:ascii="Arial Narrow" w:hAnsi="Arial Narrow"/>
                <w:i/>
                <w:iCs/>
                <w:sz w:val="22"/>
                <w:szCs w:val="22"/>
              </w:rPr>
              <w:t xml:space="preserve"> for savings in time or cost? If the rationale was Satisfaction, what </w:t>
            </w:r>
            <w:proofErr w:type="gramStart"/>
            <w:r>
              <w:rPr>
                <w:rFonts w:ascii="Arial Narrow" w:hAnsi="Arial Narrow"/>
                <w:i/>
                <w:iCs/>
                <w:sz w:val="22"/>
                <w:szCs w:val="22"/>
              </w:rPr>
              <w:t>is</w:t>
            </w:r>
            <w:proofErr w:type="gramEnd"/>
            <w:r>
              <w:rPr>
                <w:rFonts w:ascii="Arial Narrow" w:hAnsi="Arial Narrow"/>
                <w:i/>
                <w:iCs/>
                <w:sz w:val="22"/>
                <w:szCs w:val="22"/>
              </w:rPr>
              <w:t xml:space="preserve"> the measure and what increase is desired</w:t>
            </w:r>
            <w:r>
              <w:rPr>
                <w:rFonts w:ascii="Arial Narrow" w:hAnsi="Arial Narrow"/>
                <w:sz w:val="22"/>
                <w:szCs w:val="22"/>
              </w:rPr>
              <w:t>?</w:t>
            </w:r>
          </w:p>
        </w:tc>
      </w:tr>
      <w:tr w:rsidR="00030D5F" w:rsidTr="006C0928">
        <w:tc>
          <w:tcPr>
            <w:tcW w:w="4788" w:type="dxa"/>
            <w:tcMar>
              <w:top w:w="0" w:type="dxa"/>
              <w:left w:w="108" w:type="dxa"/>
              <w:bottom w:w="0" w:type="dxa"/>
              <w:right w:w="108" w:type="dxa"/>
            </w:tcMar>
            <w:vAlign w:val="center"/>
            <w:hideMark/>
          </w:tcPr>
          <w:p w:rsidR="00030D5F" w:rsidRDefault="00030D5F" w:rsidP="008B4F83">
            <w:pPr>
              <w:spacing w:beforeLines="60" w:before="144" w:after="120" w:line="276" w:lineRule="auto"/>
              <w:rPr>
                <w:rFonts w:ascii="Arial Narrow" w:hAnsi="Arial Narrow"/>
                <w:b/>
                <w:bCs/>
                <w:sz w:val="24"/>
                <w:szCs w:val="24"/>
              </w:rPr>
            </w:pPr>
            <w:r>
              <w:rPr>
                <w:rFonts w:ascii="Arial Narrow" w:hAnsi="Arial Narrow"/>
                <w:b/>
                <w:bCs/>
              </w:rPr>
              <w:lastRenderedPageBreak/>
              <w:t xml:space="preserve">Summary of Data Collected </w:t>
            </w:r>
            <w:r>
              <w:rPr>
                <w:rFonts w:ascii="Arial Narrow" w:hAnsi="Arial Narrow"/>
              </w:rPr>
              <w:t>(</w:t>
            </w:r>
            <w:r>
              <w:rPr>
                <w:rFonts w:ascii="Arial Narrow" w:hAnsi="Arial Narrow"/>
                <w:i/>
                <w:iCs/>
              </w:rPr>
              <w:t>Summarize the evidence)</w:t>
            </w:r>
          </w:p>
        </w:tc>
        <w:tc>
          <w:tcPr>
            <w:tcW w:w="236" w:type="dxa"/>
            <w:tcMar>
              <w:top w:w="0" w:type="dxa"/>
              <w:left w:w="108" w:type="dxa"/>
              <w:bottom w:w="0" w:type="dxa"/>
              <w:right w:w="108" w:type="dxa"/>
            </w:tcMar>
            <w:vAlign w:val="center"/>
          </w:tcPr>
          <w:p w:rsidR="00030D5F" w:rsidRDefault="00030D5F" w:rsidP="008B4F83">
            <w:pPr>
              <w:spacing w:beforeLines="60" w:before="144" w:after="120" w:line="276" w:lineRule="auto"/>
              <w:rPr>
                <w:rFonts w:ascii="Arial Narrow" w:hAnsi="Arial Narrow"/>
                <w:sz w:val="24"/>
                <w:szCs w:val="24"/>
              </w:rPr>
            </w:pPr>
          </w:p>
        </w:tc>
        <w:tc>
          <w:tcPr>
            <w:tcW w:w="4552" w:type="dxa"/>
            <w:tcMar>
              <w:top w:w="0" w:type="dxa"/>
              <w:left w:w="108" w:type="dxa"/>
              <w:bottom w:w="0" w:type="dxa"/>
              <w:right w:w="108" w:type="dxa"/>
            </w:tcMar>
            <w:vAlign w:val="center"/>
            <w:hideMark/>
          </w:tcPr>
          <w:p w:rsidR="00030D5F" w:rsidRDefault="00030D5F" w:rsidP="008B4F83">
            <w:pPr>
              <w:spacing w:beforeLines="60" w:before="144" w:after="120" w:line="276" w:lineRule="auto"/>
              <w:rPr>
                <w:rFonts w:ascii="Arial Narrow" w:hAnsi="Arial Narrow"/>
                <w:b/>
                <w:bCs/>
                <w:sz w:val="24"/>
                <w:szCs w:val="24"/>
              </w:rPr>
            </w:pPr>
            <w:r>
              <w:rPr>
                <w:rFonts w:ascii="Arial Narrow" w:hAnsi="Arial Narrow"/>
                <w:b/>
                <w:bCs/>
              </w:rPr>
              <w:t>Use of Results to Improve Unit Services</w:t>
            </w:r>
          </w:p>
        </w:tc>
      </w:tr>
      <w:tr w:rsidR="00030D5F" w:rsidTr="006C0928">
        <w:tc>
          <w:tcPr>
            <w:tcW w:w="4788" w:type="dxa"/>
            <w:tcBorders>
              <w:top w:val="nil"/>
              <w:left w:val="nil"/>
              <w:bottom w:val="single" w:sz="8" w:space="0" w:color="auto"/>
              <w:right w:val="nil"/>
            </w:tcBorders>
            <w:shd w:val="clear" w:color="auto" w:fill="F2F2F2"/>
            <w:tcMar>
              <w:top w:w="0" w:type="dxa"/>
              <w:left w:w="108" w:type="dxa"/>
              <w:bottom w:w="0" w:type="dxa"/>
              <w:right w:w="108" w:type="dxa"/>
            </w:tcMar>
            <w:hideMark/>
          </w:tcPr>
          <w:p w:rsidR="0047221C" w:rsidRPr="006C0928" w:rsidRDefault="006C0928" w:rsidP="0047221C">
            <w:pPr>
              <w:rPr>
                <w:rFonts w:ascii="Arial Narrow" w:hAnsi="Arial Narrow"/>
              </w:rPr>
            </w:pPr>
            <w:r>
              <w:rPr>
                <w:rFonts w:ascii="Arial Narrow" w:hAnsi="Arial Narrow"/>
              </w:rPr>
              <w:t xml:space="preserve">a. </w:t>
            </w:r>
            <w:r w:rsidR="0047221C" w:rsidRPr="006C0928">
              <w:rPr>
                <w:rFonts w:ascii="Arial Narrow" w:hAnsi="Arial Narrow"/>
              </w:rPr>
              <w:t xml:space="preserve">The assessment instrument was written during fall semester. Dissemination of the instrument would be via e-mail, with instructors returning results via either e-mail or campus mail. </w:t>
            </w:r>
          </w:p>
          <w:p w:rsidR="0047221C" w:rsidRPr="006C0928" w:rsidRDefault="006C0928" w:rsidP="0047221C">
            <w:pPr>
              <w:rPr>
                <w:rFonts w:ascii="Arial Narrow" w:hAnsi="Arial Narrow"/>
              </w:rPr>
            </w:pPr>
            <w:proofErr w:type="gramStart"/>
            <w:r>
              <w:rPr>
                <w:rFonts w:ascii="Arial Narrow" w:hAnsi="Arial Narrow"/>
              </w:rPr>
              <w:t>b</w:t>
            </w:r>
            <w:r w:rsidR="008D4369">
              <w:rPr>
                <w:rFonts w:ascii="Arial Narrow" w:hAnsi="Arial Narrow"/>
              </w:rPr>
              <w:t xml:space="preserve">.  </w:t>
            </w:r>
            <w:r w:rsidR="0047221C" w:rsidRPr="006C0928">
              <w:rPr>
                <w:rFonts w:ascii="Arial Narrow" w:hAnsi="Arial Narrow"/>
              </w:rPr>
              <w:t>The</w:t>
            </w:r>
            <w:proofErr w:type="gramEnd"/>
            <w:r w:rsidR="0047221C" w:rsidRPr="006C0928">
              <w:rPr>
                <w:rFonts w:ascii="Arial Narrow" w:hAnsi="Arial Narrow"/>
              </w:rPr>
              <w:t xml:space="preserve"> assessment instrument was disseminated for each semester via e-mail to three Nursing instructors whose courses received each type of library instruction (Face-to-face [F2F], Face-to-face &amp; embedded [F2F+E], and Embedded only [EO].  Five different instructors were directed to apply the instrument to the final submitted version of a paper that required library research, and report how many students received each score for each Objective.  Instructors chose one course section for each semester. </w:t>
            </w:r>
            <w:r w:rsidRPr="00336242">
              <w:rPr>
                <w:rFonts w:ascii="Arial Narrow" w:hAnsi="Arial Narrow"/>
              </w:rPr>
              <w:t xml:space="preserve">Data </w:t>
            </w:r>
            <w:r>
              <w:rPr>
                <w:rFonts w:ascii="Arial Narrow" w:hAnsi="Arial Narrow"/>
              </w:rPr>
              <w:t>were</w:t>
            </w:r>
            <w:r w:rsidRPr="00336242">
              <w:rPr>
                <w:rFonts w:ascii="Arial Narrow" w:hAnsi="Arial Narrow"/>
              </w:rPr>
              <w:t xml:space="preserve"> collected for all </w:t>
            </w:r>
            <w:r>
              <w:rPr>
                <w:rFonts w:ascii="Arial Narrow" w:hAnsi="Arial Narrow"/>
              </w:rPr>
              <w:t>three</w:t>
            </w:r>
            <w:r w:rsidRPr="00336242">
              <w:rPr>
                <w:rFonts w:ascii="Arial Narrow" w:hAnsi="Arial Narrow"/>
              </w:rPr>
              <w:t xml:space="preserve"> sections taught</w:t>
            </w:r>
            <w:r w:rsidRPr="006C0928">
              <w:rPr>
                <w:rFonts w:ascii="Arial Narrow" w:hAnsi="Arial Narrow"/>
              </w:rPr>
              <w:t xml:space="preserve"> </w:t>
            </w:r>
            <w:r w:rsidRPr="006C0928">
              <w:rPr>
                <w:rFonts w:ascii="Arial Narrow" w:hAnsi="Arial Narrow"/>
              </w:rPr>
              <w:t>for all courses at the freshman, junior, and senior levels</w:t>
            </w:r>
            <w:r w:rsidRPr="00336242">
              <w:rPr>
                <w:rFonts w:ascii="Arial Narrow" w:hAnsi="Arial Narrow"/>
              </w:rPr>
              <w:t xml:space="preserve">, </w:t>
            </w:r>
            <w:r>
              <w:rPr>
                <w:rFonts w:ascii="Arial Narrow" w:hAnsi="Arial Narrow"/>
              </w:rPr>
              <w:t>two</w:t>
            </w:r>
            <w:r w:rsidRPr="00336242">
              <w:rPr>
                <w:rFonts w:ascii="Arial Narrow" w:hAnsi="Arial Narrow"/>
              </w:rPr>
              <w:t xml:space="preserve"> in Fall 201</w:t>
            </w:r>
            <w:r>
              <w:rPr>
                <w:rFonts w:ascii="Arial Narrow" w:hAnsi="Arial Narrow"/>
              </w:rPr>
              <w:t>1 and one</w:t>
            </w:r>
            <w:r w:rsidRPr="00336242">
              <w:rPr>
                <w:rFonts w:ascii="Arial Narrow" w:hAnsi="Arial Narrow"/>
              </w:rPr>
              <w:t xml:space="preserve"> in Winter 201</w:t>
            </w:r>
            <w:r>
              <w:rPr>
                <w:rFonts w:ascii="Arial Narrow" w:hAnsi="Arial Narrow"/>
              </w:rPr>
              <w:t>2</w:t>
            </w:r>
            <w:r w:rsidRPr="00336242">
              <w:rPr>
                <w:rFonts w:ascii="Arial Narrow" w:hAnsi="Arial Narrow"/>
              </w:rPr>
              <w:t xml:space="preserve">. </w:t>
            </w:r>
            <w:r w:rsidRPr="006C0928">
              <w:rPr>
                <w:rFonts w:ascii="Arial Narrow" w:hAnsi="Arial Narrow"/>
              </w:rPr>
              <w:t xml:space="preserve">In the fall semester, one instructor was confused about providing data by Objective, so their results were not included in the summary or </w:t>
            </w:r>
            <w:proofErr w:type="spellStart"/>
            <w:r w:rsidRPr="006C0928">
              <w:rPr>
                <w:rFonts w:ascii="Arial Narrow" w:hAnsi="Arial Narrow"/>
              </w:rPr>
              <w:t>analysis.</w:t>
            </w:r>
            <w:r w:rsidRPr="00336242">
              <w:rPr>
                <w:rFonts w:ascii="Arial Narrow" w:hAnsi="Arial Narrow"/>
              </w:rPr>
              <w:t>Assessment</w:t>
            </w:r>
            <w:proofErr w:type="spellEnd"/>
            <w:r w:rsidRPr="00336242">
              <w:rPr>
                <w:rFonts w:ascii="Arial Narrow" w:hAnsi="Arial Narrow"/>
              </w:rPr>
              <w:t xml:space="preserve"> data </w:t>
            </w:r>
            <w:r>
              <w:rPr>
                <w:rFonts w:ascii="Arial Narrow" w:hAnsi="Arial Narrow"/>
              </w:rPr>
              <w:t>were</w:t>
            </w:r>
            <w:r w:rsidRPr="00336242">
              <w:rPr>
                <w:rFonts w:ascii="Arial Narrow" w:hAnsi="Arial Narrow"/>
              </w:rPr>
              <w:t xml:space="preserve"> collected from</w:t>
            </w:r>
            <w:r>
              <w:rPr>
                <w:rFonts w:ascii="Arial Narrow" w:hAnsi="Arial Narrow"/>
              </w:rPr>
              <w:t xml:space="preserve"> each instructor and </w:t>
            </w:r>
            <w:r w:rsidRPr="00336242">
              <w:rPr>
                <w:rFonts w:ascii="Arial Narrow" w:hAnsi="Arial Narrow"/>
              </w:rPr>
              <w:t>compiled in an Excel spreadsheet</w:t>
            </w:r>
            <w:r>
              <w:rPr>
                <w:rFonts w:ascii="Arial Narrow" w:hAnsi="Arial Narrow"/>
              </w:rPr>
              <w:t xml:space="preserve"> (see attached file </w:t>
            </w:r>
            <w:r w:rsidRPr="0035564C">
              <w:rPr>
                <w:rFonts w:ascii="Arial Narrow" w:hAnsi="Arial Narrow"/>
              </w:rPr>
              <w:t>AQIPembeddedLibrarianshipRawData2012.xlsx</w:t>
            </w:r>
            <w:r>
              <w:rPr>
                <w:rFonts w:ascii="Arial Narrow" w:hAnsi="Arial Narrow"/>
              </w:rPr>
              <w:t>)</w:t>
            </w:r>
            <w:r w:rsidRPr="00336242">
              <w:rPr>
                <w:rFonts w:ascii="Arial Narrow" w:hAnsi="Arial Narrow"/>
              </w:rPr>
              <w:t>.</w:t>
            </w:r>
            <w:r>
              <w:rPr>
                <w:rFonts w:ascii="Arial Narrow" w:hAnsi="Arial Narrow"/>
              </w:rPr>
              <w:t xml:space="preserve"> </w:t>
            </w:r>
          </w:p>
          <w:tbl>
            <w:tblPr>
              <w:tblW w:w="4675" w:type="dxa"/>
              <w:tblLayout w:type="fixed"/>
              <w:tblCellMar>
                <w:left w:w="43" w:type="dxa"/>
                <w:right w:w="43" w:type="dxa"/>
              </w:tblCellMar>
              <w:tblLook w:val="04A0" w:firstRow="1" w:lastRow="0" w:firstColumn="1" w:lastColumn="0" w:noHBand="0" w:noVBand="1"/>
            </w:tblPr>
            <w:tblGrid>
              <w:gridCol w:w="1795"/>
              <w:gridCol w:w="1620"/>
              <w:gridCol w:w="1260"/>
            </w:tblGrid>
            <w:tr w:rsidR="006C0928" w:rsidRPr="006C0928" w:rsidTr="006C0928">
              <w:trPr>
                <w:trHeight w:val="220"/>
              </w:trPr>
              <w:tc>
                <w:tcPr>
                  <w:tcW w:w="1795" w:type="dxa"/>
                  <w:vMerge w:val="restart"/>
                  <w:tcBorders>
                    <w:top w:val="single" w:sz="4" w:space="0" w:color="auto"/>
                    <w:left w:val="single" w:sz="4" w:space="0" w:color="auto"/>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Objective</w:t>
                  </w:r>
                </w:p>
              </w:tc>
              <w:tc>
                <w:tcPr>
                  <w:tcW w:w="1620" w:type="dxa"/>
                  <w:vMerge w:val="restart"/>
                  <w:tcBorders>
                    <w:top w:val="single" w:sz="4" w:space="0" w:color="auto"/>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Average Student Score by method (F2F, F2F+E, EO)</w:t>
                  </w:r>
                </w:p>
              </w:tc>
              <w:tc>
                <w:tcPr>
                  <w:tcW w:w="1260" w:type="dxa"/>
                  <w:vMerge w:val="restart"/>
                  <w:tcBorders>
                    <w:top w:val="single" w:sz="4" w:space="0" w:color="auto"/>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 xml:space="preserve">Overall </w:t>
                  </w:r>
                  <w:proofErr w:type="spellStart"/>
                  <w:r w:rsidRPr="006C0928">
                    <w:rPr>
                      <w:rFonts w:asciiTheme="minorHAnsi" w:eastAsia="Times New Roman" w:hAnsiTheme="minorHAnsi" w:cstheme="minorHAnsi"/>
                      <w:b/>
                      <w:bCs/>
                      <w:sz w:val="18"/>
                      <w:szCs w:val="18"/>
                    </w:rPr>
                    <w:t>ave.</w:t>
                  </w:r>
                  <w:proofErr w:type="spellEnd"/>
                  <w:r w:rsidRPr="006C0928">
                    <w:rPr>
                      <w:rFonts w:asciiTheme="minorHAnsi" w:eastAsia="Times New Roman" w:hAnsiTheme="minorHAnsi" w:cstheme="minorHAnsi"/>
                      <w:b/>
                      <w:bCs/>
                      <w:sz w:val="18"/>
                      <w:szCs w:val="18"/>
                    </w:rPr>
                    <w:t xml:space="preserve"> student score by objective</w:t>
                  </w:r>
                </w:p>
              </w:tc>
            </w:tr>
            <w:tr w:rsidR="006C0928" w:rsidRPr="006C0928" w:rsidTr="006C0928">
              <w:trPr>
                <w:trHeight w:val="220"/>
              </w:trPr>
              <w:tc>
                <w:tcPr>
                  <w:tcW w:w="1795" w:type="dxa"/>
                  <w:vMerge/>
                  <w:tcBorders>
                    <w:top w:val="single" w:sz="4" w:space="0" w:color="auto"/>
                    <w:left w:val="single" w:sz="4" w:space="0" w:color="auto"/>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c>
                <w:tcPr>
                  <w:tcW w:w="1620" w:type="dxa"/>
                  <w:vMerge/>
                  <w:tcBorders>
                    <w:top w:val="single" w:sz="4" w:space="0" w:color="auto"/>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c>
                <w:tcPr>
                  <w:tcW w:w="1260" w:type="dxa"/>
                  <w:vMerge/>
                  <w:tcBorders>
                    <w:top w:val="single" w:sz="4" w:space="0" w:color="auto"/>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r w:rsidR="006C0928" w:rsidRPr="006C0928" w:rsidTr="006C0928">
              <w:trPr>
                <w:trHeight w:val="20"/>
              </w:trPr>
              <w:tc>
                <w:tcPr>
                  <w:tcW w:w="1795"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c>
                <w:tcPr>
                  <w:tcW w:w="126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r>
            <w:tr w:rsidR="006C0928" w:rsidRPr="006C0928" w:rsidTr="006C0928">
              <w:trPr>
                <w:trHeight w:val="20"/>
              </w:trPr>
              <w:tc>
                <w:tcPr>
                  <w:tcW w:w="1795" w:type="dxa"/>
                  <w:vMerge w:val="restart"/>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sz w:val="18"/>
                      <w:szCs w:val="18"/>
                    </w:rPr>
                  </w:pPr>
                  <w:r w:rsidRPr="006C0928">
                    <w:rPr>
                      <w:rFonts w:asciiTheme="minorHAnsi" w:eastAsia="Times New Roman" w:hAnsiTheme="minorHAnsi" w:cstheme="minorHAnsi"/>
                      <w:sz w:val="18"/>
                      <w:szCs w:val="18"/>
                    </w:rPr>
                    <w:t>Locate academic/scholarly sources</w:t>
                  </w: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4.19</w:t>
                  </w:r>
                </w:p>
              </w:tc>
              <w:tc>
                <w:tcPr>
                  <w:tcW w:w="1260" w:type="dxa"/>
                  <w:vMerge w:val="restart"/>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4.38</w:t>
                  </w:r>
                </w:p>
              </w:tc>
            </w:tr>
            <w:tr w:rsidR="006C0928" w:rsidRPr="006C0928" w:rsidTr="006C0928">
              <w:trPr>
                <w:trHeight w:val="20"/>
              </w:trPr>
              <w:tc>
                <w:tcPr>
                  <w:tcW w:w="1795"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4.31</w:t>
                  </w:r>
                </w:p>
              </w:tc>
              <w:tc>
                <w:tcPr>
                  <w:tcW w:w="1260"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r w:rsidR="006C0928" w:rsidRPr="006C0928" w:rsidTr="006C0928">
              <w:trPr>
                <w:trHeight w:val="20"/>
              </w:trPr>
              <w:tc>
                <w:tcPr>
                  <w:tcW w:w="1795"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4.63</w:t>
                  </w:r>
                </w:p>
              </w:tc>
              <w:tc>
                <w:tcPr>
                  <w:tcW w:w="1260"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r w:rsidR="006C0928" w:rsidRPr="006C0928" w:rsidTr="006C0928">
              <w:trPr>
                <w:trHeight w:val="20"/>
              </w:trPr>
              <w:tc>
                <w:tcPr>
                  <w:tcW w:w="1795"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c>
                <w:tcPr>
                  <w:tcW w:w="126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r>
            <w:tr w:rsidR="006C0928" w:rsidRPr="006C0928" w:rsidTr="006C0928">
              <w:trPr>
                <w:trHeight w:val="20"/>
              </w:trPr>
              <w:tc>
                <w:tcPr>
                  <w:tcW w:w="1795" w:type="dxa"/>
                  <w:vMerge w:val="restart"/>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sz w:val="18"/>
                      <w:szCs w:val="18"/>
                    </w:rPr>
                  </w:pPr>
                  <w:r w:rsidRPr="006C0928">
                    <w:rPr>
                      <w:rFonts w:asciiTheme="minorHAnsi" w:eastAsia="Times New Roman" w:hAnsiTheme="minorHAnsi" w:cstheme="minorHAnsi"/>
                      <w:sz w:val="18"/>
                      <w:szCs w:val="18"/>
                    </w:rPr>
                    <w:t>Synthesizes relevant ideas from sources</w:t>
                  </w: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4.14</w:t>
                  </w:r>
                </w:p>
              </w:tc>
              <w:tc>
                <w:tcPr>
                  <w:tcW w:w="1260" w:type="dxa"/>
                  <w:vMerge w:val="restart"/>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4.18</w:t>
                  </w:r>
                </w:p>
              </w:tc>
            </w:tr>
            <w:tr w:rsidR="006C0928" w:rsidRPr="006C0928" w:rsidTr="006C0928">
              <w:trPr>
                <w:trHeight w:val="20"/>
              </w:trPr>
              <w:tc>
                <w:tcPr>
                  <w:tcW w:w="1795"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4.18</w:t>
                  </w:r>
                </w:p>
              </w:tc>
              <w:tc>
                <w:tcPr>
                  <w:tcW w:w="1260"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r w:rsidR="006C0928" w:rsidRPr="006C0928" w:rsidTr="006C0928">
              <w:trPr>
                <w:trHeight w:val="20"/>
              </w:trPr>
              <w:tc>
                <w:tcPr>
                  <w:tcW w:w="1795"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4.22</w:t>
                  </w:r>
                </w:p>
              </w:tc>
              <w:tc>
                <w:tcPr>
                  <w:tcW w:w="1260"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r w:rsidR="006C0928" w:rsidRPr="006C0928" w:rsidTr="006C0928">
              <w:trPr>
                <w:trHeight w:val="20"/>
              </w:trPr>
              <w:tc>
                <w:tcPr>
                  <w:tcW w:w="1795"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c>
                <w:tcPr>
                  <w:tcW w:w="126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p>
              </w:tc>
            </w:tr>
            <w:tr w:rsidR="006C0928" w:rsidRPr="006C0928" w:rsidTr="006C0928">
              <w:trPr>
                <w:trHeight w:val="20"/>
              </w:trPr>
              <w:tc>
                <w:tcPr>
                  <w:tcW w:w="1795" w:type="dxa"/>
                  <w:vMerge w:val="restart"/>
                  <w:tcBorders>
                    <w:top w:val="nil"/>
                    <w:left w:val="nil"/>
                    <w:bottom w:val="nil"/>
                    <w:right w:val="nil"/>
                  </w:tcBorders>
                  <w:shd w:val="clear" w:color="auto" w:fill="auto"/>
                  <w:vAlign w:val="center"/>
                  <w:hideMark/>
                </w:tcPr>
                <w:p w:rsidR="00971C2E" w:rsidRPr="006C0928" w:rsidRDefault="008B4F83" w:rsidP="006C0928">
                  <w:pPr>
                    <w:ind w:left="-133"/>
                    <w:jc w:val="center"/>
                    <w:rPr>
                      <w:rFonts w:asciiTheme="minorHAnsi" w:eastAsia="Times New Roman" w:hAnsiTheme="minorHAnsi" w:cstheme="minorHAnsi"/>
                      <w:sz w:val="18"/>
                      <w:szCs w:val="18"/>
                    </w:rPr>
                  </w:pPr>
                  <w:r w:rsidRPr="006C0928">
                    <w:rPr>
                      <w:rFonts w:asciiTheme="minorHAnsi" w:eastAsia="Times New Roman" w:hAnsiTheme="minorHAnsi" w:cstheme="minorHAnsi"/>
                      <w:sz w:val="18"/>
                      <w:szCs w:val="18"/>
                    </w:rPr>
                    <w:t>APA style citing in-text</w:t>
                  </w:r>
                </w:p>
                <w:p w:rsidR="008B4F83" w:rsidRPr="006C0928" w:rsidRDefault="008B4F83" w:rsidP="006C0928">
                  <w:pPr>
                    <w:ind w:left="-133"/>
                    <w:jc w:val="center"/>
                    <w:rPr>
                      <w:rFonts w:asciiTheme="minorHAnsi" w:eastAsia="Times New Roman" w:hAnsiTheme="minorHAnsi" w:cstheme="minorHAnsi"/>
                      <w:sz w:val="18"/>
                      <w:szCs w:val="18"/>
                    </w:rPr>
                  </w:pPr>
                  <w:r w:rsidRPr="006C0928">
                    <w:rPr>
                      <w:rFonts w:asciiTheme="minorHAnsi" w:eastAsia="Times New Roman" w:hAnsiTheme="minorHAnsi" w:cstheme="minorHAnsi"/>
                      <w:sz w:val="18"/>
                      <w:szCs w:val="18"/>
                    </w:rPr>
                    <w:t xml:space="preserve"> &amp; references</w:t>
                  </w: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4.33</w:t>
                  </w:r>
                </w:p>
              </w:tc>
              <w:tc>
                <w:tcPr>
                  <w:tcW w:w="1260" w:type="dxa"/>
                  <w:vMerge w:val="restart"/>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4.39</w:t>
                  </w:r>
                </w:p>
              </w:tc>
            </w:tr>
            <w:tr w:rsidR="006C0928" w:rsidRPr="006C0928" w:rsidTr="006C0928">
              <w:trPr>
                <w:trHeight w:val="20"/>
              </w:trPr>
              <w:tc>
                <w:tcPr>
                  <w:tcW w:w="1795"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4.21</w:t>
                  </w:r>
                </w:p>
              </w:tc>
              <w:tc>
                <w:tcPr>
                  <w:tcW w:w="1260"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r w:rsidR="006C0928" w:rsidRPr="006C0928" w:rsidTr="006C0928">
              <w:trPr>
                <w:trHeight w:val="20"/>
              </w:trPr>
              <w:tc>
                <w:tcPr>
                  <w:tcW w:w="1795"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sz w:val="18"/>
                      <w:szCs w:val="18"/>
                    </w:rPr>
                  </w:pPr>
                </w:p>
              </w:tc>
              <w:tc>
                <w:tcPr>
                  <w:tcW w:w="1620" w:type="dxa"/>
                  <w:tcBorders>
                    <w:top w:val="nil"/>
                    <w:left w:val="nil"/>
                    <w:bottom w:val="nil"/>
                    <w:right w:val="nil"/>
                  </w:tcBorders>
                  <w:shd w:val="clear" w:color="auto" w:fill="auto"/>
                  <w:vAlign w:val="center"/>
                  <w:hideMark/>
                </w:tcPr>
                <w:p w:rsidR="008B4F83" w:rsidRPr="006C0928" w:rsidRDefault="008B4F83" w:rsidP="006C0928">
                  <w:pPr>
                    <w:ind w:left="-133"/>
                    <w:jc w:val="center"/>
                    <w:rPr>
                      <w:rFonts w:asciiTheme="minorHAnsi" w:eastAsia="Times New Roman" w:hAnsiTheme="minorHAnsi" w:cstheme="minorHAnsi"/>
                      <w:b/>
                      <w:bCs/>
                      <w:sz w:val="18"/>
                      <w:szCs w:val="18"/>
                    </w:rPr>
                  </w:pPr>
                  <w:r w:rsidRPr="006C0928">
                    <w:rPr>
                      <w:rFonts w:asciiTheme="minorHAnsi" w:eastAsia="Times New Roman" w:hAnsiTheme="minorHAnsi" w:cstheme="minorHAnsi"/>
                      <w:b/>
                      <w:bCs/>
                      <w:sz w:val="18"/>
                      <w:szCs w:val="18"/>
                    </w:rPr>
                    <w:t>4.72</w:t>
                  </w:r>
                </w:p>
              </w:tc>
              <w:tc>
                <w:tcPr>
                  <w:tcW w:w="1260" w:type="dxa"/>
                  <w:vMerge/>
                  <w:tcBorders>
                    <w:top w:val="nil"/>
                    <w:left w:val="nil"/>
                    <w:bottom w:val="nil"/>
                    <w:right w:val="nil"/>
                  </w:tcBorders>
                  <w:vAlign w:val="center"/>
                  <w:hideMark/>
                </w:tcPr>
                <w:p w:rsidR="008B4F83" w:rsidRPr="006C0928" w:rsidRDefault="008B4F83" w:rsidP="006C0928">
                  <w:pPr>
                    <w:ind w:left="-133"/>
                    <w:rPr>
                      <w:rFonts w:asciiTheme="minorHAnsi" w:eastAsia="Times New Roman" w:hAnsiTheme="minorHAnsi" w:cstheme="minorHAnsi"/>
                      <w:b/>
                      <w:bCs/>
                      <w:sz w:val="18"/>
                      <w:szCs w:val="18"/>
                    </w:rPr>
                  </w:pPr>
                </w:p>
              </w:tc>
            </w:tr>
          </w:tbl>
          <w:p w:rsidR="006C0928" w:rsidRDefault="006C0928"/>
          <w:p w:rsidR="008B4F83" w:rsidRPr="006C0928" w:rsidRDefault="006C0928" w:rsidP="0035564C">
            <w:pPr>
              <w:rPr>
                <w:rFonts w:ascii="Arial Narrow" w:hAnsi="Arial Narrow"/>
              </w:rPr>
            </w:pPr>
            <w:r>
              <w:rPr>
                <w:rFonts w:ascii="Arial Narrow" w:hAnsi="Arial Narrow"/>
              </w:rPr>
              <w:t>T</w:t>
            </w:r>
            <w:r w:rsidRPr="00336242">
              <w:rPr>
                <w:rFonts w:ascii="Arial Narrow" w:hAnsi="Arial Narrow"/>
              </w:rPr>
              <w:t>he definition of success was met or exceeded for all of the learning objectives</w:t>
            </w:r>
            <w:r>
              <w:rPr>
                <w:rFonts w:ascii="Arial Narrow" w:hAnsi="Arial Narrow"/>
              </w:rPr>
              <w:t xml:space="preserve"> on average, although the average is affected by the number of students who did not participate in the assessment </w:t>
            </w:r>
            <w:r w:rsidRPr="00336242">
              <w:rPr>
                <w:rFonts w:ascii="Arial Narrow" w:hAnsi="Arial Narrow"/>
              </w:rPr>
              <w:t xml:space="preserve"> </w:t>
            </w:r>
          </w:p>
        </w:tc>
        <w:tc>
          <w:tcPr>
            <w:tcW w:w="236" w:type="dxa"/>
            <w:tcBorders>
              <w:top w:val="nil"/>
              <w:left w:val="nil"/>
              <w:bottom w:val="single" w:sz="8" w:space="0" w:color="auto"/>
              <w:right w:val="nil"/>
            </w:tcBorders>
            <w:tcMar>
              <w:top w:w="0" w:type="dxa"/>
              <w:left w:w="108" w:type="dxa"/>
              <w:bottom w:w="0" w:type="dxa"/>
              <w:right w:w="108" w:type="dxa"/>
            </w:tcMar>
          </w:tcPr>
          <w:p w:rsidR="00030D5F" w:rsidRDefault="00030D5F">
            <w:pPr>
              <w:spacing w:line="276" w:lineRule="auto"/>
              <w:rPr>
                <w:rFonts w:ascii="Arial Narrow" w:hAnsi="Arial Narrow"/>
                <w:sz w:val="24"/>
                <w:szCs w:val="24"/>
              </w:rPr>
            </w:pPr>
          </w:p>
        </w:tc>
        <w:tc>
          <w:tcPr>
            <w:tcW w:w="4552" w:type="dxa"/>
            <w:tcBorders>
              <w:top w:val="nil"/>
              <w:left w:val="nil"/>
              <w:bottom w:val="single" w:sz="8" w:space="0" w:color="auto"/>
              <w:right w:val="nil"/>
            </w:tcBorders>
            <w:shd w:val="clear" w:color="auto" w:fill="F2F2F2"/>
            <w:tcMar>
              <w:top w:w="0" w:type="dxa"/>
              <w:left w:w="108" w:type="dxa"/>
              <w:bottom w:w="0" w:type="dxa"/>
              <w:right w:w="108" w:type="dxa"/>
            </w:tcMar>
            <w:hideMark/>
          </w:tcPr>
          <w:p w:rsidR="00030D5F" w:rsidRDefault="008D4369" w:rsidP="008178CE">
            <w:pPr>
              <w:rPr>
                <w:rFonts w:ascii="Arial Narrow" w:hAnsi="Arial Narrow"/>
              </w:rPr>
            </w:pPr>
            <w:r w:rsidRPr="00336242">
              <w:rPr>
                <w:rFonts w:ascii="Arial Narrow" w:hAnsi="Arial Narrow"/>
              </w:rPr>
              <w:t>We have met the standard for success this year</w:t>
            </w:r>
            <w:r>
              <w:rPr>
                <w:rFonts w:ascii="Arial Narrow" w:hAnsi="Arial Narrow"/>
              </w:rPr>
              <w:t>. We will examine the possible reasons for the lack of student participation in the final assessment to see if we can improve the percentage of participation. The use of the rubric for the final project proved to be more efficient and useful for assessment, since all sections require some version of this assignment, which serves as a culmination of material taught in the course</w:t>
            </w:r>
            <w:r w:rsidRPr="00336242">
              <w:rPr>
                <w:rFonts w:ascii="Arial Narrow" w:hAnsi="Arial Narrow"/>
              </w:rPr>
              <w:t>.</w:t>
            </w:r>
          </w:p>
          <w:p w:rsidR="008B4F83" w:rsidRDefault="008B4F83" w:rsidP="008178CE">
            <w:pPr>
              <w:rPr>
                <w:rFonts w:ascii="Arial Narrow" w:hAnsi="Arial Narrow"/>
              </w:rPr>
            </w:pPr>
          </w:p>
          <w:p w:rsidR="0047221C" w:rsidRPr="0047221C" w:rsidRDefault="0047221C" w:rsidP="006C0928">
            <w:pPr>
              <w:rPr>
                <w:rFonts w:ascii="Arial Narrow" w:hAnsi="Arial Narrow"/>
                <w:color w:val="FF0000"/>
                <w:sz w:val="24"/>
                <w:szCs w:val="24"/>
              </w:rPr>
            </w:pPr>
          </w:p>
        </w:tc>
      </w:tr>
      <w:tr w:rsidR="00030D5F" w:rsidTr="006C0928">
        <w:tc>
          <w:tcPr>
            <w:tcW w:w="4788" w:type="dxa"/>
            <w:tcMar>
              <w:top w:w="0" w:type="dxa"/>
              <w:left w:w="108" w:type="dxa"/>
              <w:bottom w:w="0" w:type="dxa"/>
              <w:right w:w="108" w:type="dxa"/>
            </w:tcMar>
            <w:vAlign w:val="center"/>
            <w:hideMark/>
          </w:tcPr>
          <w:p w:rsidR="00030D5F" w:rsidRDefault="00030D5F">
            <w:pPr>
              <w:spacing w:before="60" w:after="120" w:line="276" w:lineRule="auto"/>
              <w:rPr>
                <w:rFonts w:ascii="Arial Narrow" w:hAnsi="Arial Narrow"/>
                <w:b/>
                <w:bCs/>
                <w:sz w:val="24"/>
                <w:szCs w:val="24"/>
              </w:rPr>
            </w:pPr>
            <w:r>
              <w:rPr>
                <w:rFonts w:ascii="Arial Narrow" w:hAnsi="Arial Narrow"/>
                <w:b/>
                <w:bCs/>
              </w:rPr>
              <w:lastRenderedPageBreak/>
              <w:t xml:space="preserve">Administrative Objective #3 </w:t>
            </w:r>
            <w:r>
              <w:rPr>
                <w:rFonts w:ascii="Arial Narrow" w:hAnsi="Arial Narrow"/>
                <w:i/>
                <w:iCs/>
              </w:rPr>
              <w:t>(State a 1-2 year objective intended to improve a unit process, service, or output.)</w:t>
            </w:r>
          </w:p>
        </w:tc>
        <w:tc>
          <w:tcPr>
            <w:tcW w:w="236" w:type="dxa"/>
            <w:tcMar>
              <w:top w:w="0" w:type="dxa"/>
              <w:left w:w="108" w:type="dxa"/>
              <w:bottom w:w="0" w:type="dxa"/>
              <w:right w:w="108" w:type="dxa"/>
            </w:tcMar>
            <w:vAlign w:val="center"/>
          </w:tcPr>
          <w:p w:rsidR="00030D5F" w:rsidRDefault="00030D5F">
            <w:pPr>
              <w:spacing w:before="60" w:after="120" w:line="276" w:lineRule="auto"/>
              <w:rPr>
                <w:rFonts w:ascii="Arial Narrow" w:hAnsi="Arial Narrow"/>
                <w:sz w:val="24"/>
                <w:szCs w:val="24"/>
              </w:rPr>
            </w:pPr>
          </w:p>
        </w:tc>
        <w:tc>
          <w:tcPr>
            <w:tcW w:w="4552" w:type="dxa"/>
            <w:tcMar>
              <w:top w:w="0" w:type="dxa"/>
              <w:left w:w="108" w:type="dxa"/>
              <w:bottom w:w="0" w:type="dxa"/>
              <w:right w:w="108" w:type="dxa"/>
            </w:tcMar>
            <w:vAlign w:val="center"/>
            <w:hideMark/>
          </w:tcPr>
          <w:p w:rsidR="00030D5F" w:rsidRDefault="00030D5F">
            <w:pPr>
              <w:spacing w:before="60" w:after="120" w:line="276" w:lineRule="auto"/>
              <w:rPr>
                <w:rFonts w:ascii="Arial Narrow" w:hAnsi="Arial Narrow"/>
                <w:b/>
                <w:bCs/>
                <w:sz w:val="24"/>
                <w:szCs w:val="24"/>
              </w:rPr>
            </w:pPr>
            <w:r>
              <w:rPr>
                <w:rFonts w:ascii="Arial Narrow" w:hAnsi="Arial Narrow"/>
                <w:b/>
                <w:bCs/>
              </w:rPr>
              <w:t>Means/Evidence of Assessment for Objective</w:t>
            </w:r>
          </w:p>
        </w:tc>
      </w:tr>
      <w:tr w:rsidR="00030D5F" w:rsidTr="006C0928">
        <w:tc>
          <w:tcPr>
            <w:tcW w:w="4788" w:type="dxa"/>
            <w:shd w:val="clear" w:color="auto" w:fill="F2F2F2"/>
            <w:tcMar>
              <w:top w:w="0" w:type="dxa"/>
              <w:left w:w="108" w:type="dxa"/>
              <w:bottom w:w="0" w:type="dxa"/>
              <w:right w:w="108" w:type="dxa"/>
            </w:tcMar>
          </w:tcPr>
          <w:p w:rsidR="00030D5F" w:rsidRDefault="00030D5F" w:rsidP="008178CE">
            <w:pPr>
              <w:rPr>
                <w:rFonts w:ascii="Arial Narrow" w:hAnsi="Arial Narrow"/>
                <w:sz w:val="24"/>
                <w:szCs w:val="24"/>
              </w:rPr>
            </w:pPr>
            <w:r>
              <w:rPr>
                <w:rFonts w:ascii="Arial Narrow" w:hAnsi="Arial Narrow"/>
                <w:i/>
                <w:iCs/>
              </w:rPr>
              <w:t>Objective</w:t>
            </w:r>
            <w:r>
              <w:rPr>
                <w:rFonts w:ascii="Arial Narrow" w:hAnsi="Arial Narrow"/>
              </w:rPr>
              <w:t>:  Complete the initial review and analysis of the Holocaust/Human Rights Collection to identify area</w:t>
            </w:r>
            <w:r w:rsidR="00960E44">
              <w:rPr>
                <w:rFonts w:ascii="Arial Narrow" w:hAnsi="Arial Narrow"/>
              </w:rPr>
              <w:t>s</w:t>
            </w:r>
            <w:r>
              <w:rPr>
                <w:rFonts w:ascii="Arial Narrow" w:hAnsi="Arial Narrow"/>
              </w:rPr>
              <w:t xml:space="preserve"> for development</w:t>
            </w:r>
            <w:r w:rsidR="009A33EE">
              <w:rPr>
                <w:rFonts w:ascii="Arial Narrow" w:hAnsi="Arial Narrow"/>
              </w:rPr>
              <w:t xml:space="preserve"> </w:t>
            </w:r>
            <w:r w:rsidR="009A33EE" w:rsidRPr="00133572">
              <w:rPr>
                <w:rFonts w:ascii="Arial Narrow" w:hAnsi="Arial Narrow"/>
              </w:rPr>
              <w:t>(e.g. materials in specific subject areas, authors, publishers, or formats that will enhance and strengthen the collection).</w:t>
            </w:r>
            <w:r w:rsidR="009A33EE">
              <w:rPr>
                <w:rFonts w:ascii="Arial Narrow" w:hAnsi="Arial Narrow"/>
              </w:rPr>
              <w:t xml:space="preserve"> </w:t>
            </w:r>
          </w:p>
          <w:p w:rsidR="00030D5F" w:rsidRDefault="00030D5F">
            <w:pPr>
              <w:spacing w:line="276" w:lineRule="auto"/>
              <w:rPr>
                <w:rFonts w:ascii="Arial Narrow" w:hAnsi="Arial Narrow"/>
              </w:rPr>
            </w:pPr>
          </w:p>
          <w:p w:rsidR="00030D5F" w:rsidRDefault="00030D5F">
            <w:pPr>
              <w:spacing w:line="276" w:lineRule="auto"/>
              <w:rPr>
                <w:rFonts w:ascii="Arial Narrow" w:hAnsi="Arial Narrow"/>
              </w:rPr>
            </w:pPr>
            <w:r>
              <w:rPr>
                <w:rFonts w:ascii="Arial Narrow" w:hAnsi="Arial Narrow"/>
                <w:i/>
                <w:iCs/>
              </w:rPr>
              <w:t>Rationale (Why you are setting this objective? Mark with “X”)</w:t>
            </w:r>
            <w:r>
              <w:rPr>
                <w:rFonts w:ascii="Arial Narrow" w:hAnsi="Arial Narrow"/>
              </w:rPr>
              <w:t>:</w:t>
            </w:r>
          </w:p>
          <w:p w:rsidR="00030D5F" w:rsidRDefault="00030D5F">
            <w:pPr>
              <w:spacing w:line="276" w:lineRule="auto"/>
              <w:rPr>
                <w:rFonts w:ascii="Arial Narrow" w:hAnsi="Arial Narrow"/>
              </w:rPr>
            </w:pPr>
            <w:r>
              <w:rPr>
                <w:rFonts w:ascii="Arial Narrow" w:hAnsi="Arial Narrow"/>
                <w:u w:val="single"/>
              </w:rPr>
              <w:t>X</w:t>
            </w:r>
            <w:r>
              <w:rPr>
                <w:rFonts w:ascii="Arial Narrow" w:hAnsi="Arial Narrow"/>
              </w:rPr>
              <w:t xml:space="preserve"> Effectiveness/quality action </w:t>
            </w:r>
            <w:r>
              <w:rPr>
                <w:rFonts w:ascii="Arial Narrow" w:hAnsi="Arial Narrow"/>
                <w:u w:val="single"/>
              </w:rPr>
              <w:t>X</w:t>
            </w:r>
            <w:r>
              <w:rPr>
                <w:rFonts w:ascii="Arial Narrow" w:hAnsi="Arial Narrow"/>
              </w:rPr>
              <w:t xml:space="preserve"> Efficiency/cost action   </w:t>
            </w:r>
          </w:p>
          <w:p w:rsidR="00030D5F" w:rsidRDefault="00030D5F">
            <w:pPr>
              <w:spacing w:line="276" w:lineRule="auto"/>
              <w:rPr>
                <w:rFonts w:ascii="Arial Narrow" w:hAnsi="Arial Narrow"/>
              </w:rPr>
            </w:pPr>
            <w:r>
              <w:rPr>
                <w:rFonts w:ascii="Symbol" w:hAnsi="Symbol"/>
                <w:u w:val="single"/>
              </w:rPr>
              <w:t></w:t>
            </w:r>
            <w:r>
              <w:rPr>
                <w:rFonts w:ascii="Arial Narrow" w:hAnsi="Arial Narrow"/>
                <w:u w:val="single"/>
              </w:rPr>
              <w:t xml:space="preserve"> </w:t>
            </w:r>
            <w:r>
              <w:rPr>
                <w:rFonts w:ascii="Arial Narrow" w:hAnsi="Arial Narrow"/>
              </w:rPr>
              <w:t xml:space="preserve">Compliance issue </w:t>
            </w:r>
            <w:r>
              <w:rPr>
                <w:rFonts w:ascii="Symbol" w:hAnsi="Symbol"/>
                <w:u w:val="single"/>
              </w:rPr>
              <w:t></w:t>
            </w:r>
            <w:r>
              <w:rPr>
                <w:rFonts w:ascii="Arial Narrow" w:hAnsi="Arial Narrow"/>
              </w:rPr>
              <w:t xml:space="preserve"> Satisfaction measure  </w:t>
            </w:r>
            <w:r>
              <w:rPr>
                <w:rFonts w:ascii="Arial Narrow" w:hAnsi="Arial Narrow"/>
                <w:u w:val="single"/>
              </w:rPr>
              <w:t>X</w:t>
            </w:r>
            <w:r w:rsidR="00D41D6B">
              <w:rPr>
                <w:rFonts w:ascii="Arial Narrow" w:hAnsi="Arial Narrow"/>
                <w:u w:val="single"/>
              </w:rPr>
              <w:t xml:space="preserve"> </w:t>
            </w:r>
            <w:r>
              <w:rPr>
                <w:rFonts w:ascii="Arial Narrow" w:hAnsi="Arial Narrow"/>
              </w:rPr>
              <w:t xml:space="preserve">Create baseline  </w:t>
            </w:r>
          </w:p>
          <w:p w:rsidR="00030D5F" w:rsidRDefault="00030D5F">
            <w:pPr>
              <w:spacing w:line="276" w:lineRule="auto"/>
              <w:rPr>
                <w:rFonts w:ascii="Arial Narrow" w:hAnsi="Arial Narrow"/>
              </w:rPr>
            </w:pPr>
            <w:r>
              <w:rPr>
                <w:rFonts w:ascii="Symbol" w:hAnsi="Symbol"/>
                <w:u w:val="single"/>
              </w:rPr>
              <w:t></w:t>
            </w:r>
            <w:r>
              <w:rPr>
                <w:rFonts w:ascii="Arial Narrow" w:hAnsi="Arial Narrow"/>
              </w:rPr>
              <w:t xml:space="preserve"> Other (explain): </w:t>
            </w:r>
          </w:p>
          <w:p w:rsidR="00030D5F" w:rsidRDefault="00030D5F">
            <w:pPr>
              <w:spacing w:line="276" w:lineRule="auto"/>
              <w:rPr>
                <w:rFonts w:ascii="Arial Narrow" w:hAnsi="Arial Narrow"/>
              </w:rPr>
            </w:pPr>
          </w:p>
          <w:p w:rsidR="00030D5F" w:rsidRDefault="00030D5F">
            <w:pPr>
              <w:spacing w:line="276" w:lineRule="auto"/>
              <w:rPr>
                <w:rFonts w:ascii="Arial Narrow" w:hAnsi="Arial Narrow"/>
              </w:rPr>
            </w:pPr>
            <w:r>
              <w:rPr>
                <w:rFonts w:ascii="Arial Narrow" w:hAnsi="Arial Narrow"/>
                <w:i/>
                <w:iCs/>
              </w:rPr>
              <w:t>Does this objective relate to a Road Map goal? (Refer to last page for the Road Map goals). If yes, type the related Road Map codes here</w:t>
            </w:r>
            <w:r>
              <w:rPr>
                <w:rFonts w:ascii="Arial Narrow" w:hAnsi="Arial Narrow"/>
              </w:rPr>
              <w:t>:  CA1</w:t>
            </w:r>
          </w:p>
          <w:p w:rsidR="00030D5F" w:rsidRDefault="00030D5F">
            <w:pPr>
              <w:spacing w:line="276" w:lineRule="auto"/>
              <w:rPr>
                <w:rFonts w:ascii="Arial Narrow" w:hAnsi="Arial Narrow"/>
                <w:sz w:val="24"/>
                <w:szCs w:val="24"/>
              </w:rPr>
            </w:pPr>
          </w:p>
        </w:tc>
        <w:tc>
          <w:tcPr>
            <w:tcW w:w="236" w:type="dxa"/>
            <w:tcMar>
              <w:top w:w="0" w:type="dxa"/>
              <w:left w:w="108" w:type="dxa"/>
              <w:bottom w:w="0" w:type="dxa"/>
              <w:right w:w="108" w:type="dxa"/>
            </w:tcMar>
          </w:tcPr>
          <w:p w:rsidR="00030D5F" w:rsidRDefault="00030D5F">
            <w:pPr>
              <w:spacing w:line="276" w:lineRule="auto"/>
              <w:rPr>
                <w:rFonts w:ascii="Arial Narrow" w:hAnsi="Arial Narrow"/>
                <w:sz w:val="24"/>
                <w:szCs w:val="24"/>
              </w:rPr>
            </w:pPr>
          </w:p>
        </w:tc>
        <w:tc>
          <w:tcPr>
            <w:tcW w:w="4552" w:type="dxa"/>
            <w:shd w:val="clear" w:color="auto" w:fill="F2F2F2"/>
            <w:tcMar>
              <w:top w:w="0" w:type="dxa"/>
              <w:left w:w="108" w:type="dxa"/>
              <w:bottom w:w="0" w:type="dxa"/>
              <w:right w:w="108" w:type="dxa"/>
            </w:tcMar>
          </w:tcPr>
          <w:p w:rsidR="00030D5F" w:rsidRDefault="00030D5F">
            <w:pPr>
              <w:pStyle w:val="Default"/>
              <w:spacing w:line="276" w:lineRule="auto"/>
              <w:rPr>
                <w:rFonts w:ascii="Arial Narrow" w:hAnsi="Arial Narrow"/>
                <w:sz w:val="22"/>
                <w:szCs w:val="22"/>
              </w:rPr>
            </w:pPr>
            <w:r>
              <w:rPr>
                <w:rFonts w:ascii="Arial Narrow" w:hAnsi="Arial Narrow"/>
                <w:sz w:val="22"/>
                <w:szCs w:val="22"/>
              </w:rPr>
              <w:t>Describe timetable plans to achieve objective.</w:t>
            </w:r>
          </w:p>
          <w:p w:rsidR="00030D5F" w:rsidRDefault="00030D5F" w:rsidP="006C0928">
            <w:pPr>
              <w:pStyle w:val="ListParagraph"/>
              <w:numPr>
                <w:ilvl w:val="0"/>
                <w:numId w:val="8"/>
              </w:numPr>
              <w:ind w:left="376"/>
              <w:rPr>
                <w:rFonts w:ascii="Arial Narrow" w:hAnsi="Arial Narrow"/>
              </w:rPr>
            </w:pPr>
            <w:r>
              <w:rPr>
                <w:rFonts w:ascii="Arial Narrow" w:hAnsi="Arial Narrow"/>
              </w:rPr>
              <w:t>August 2011: Receive consultant’s review and analysis of the collection.</w:t>
            </w:r>
          </w:p>
          <w:p w:rsidR="00030D5F" w:rsidRDefault="00030D5F" w:rsidP="006C0928">
            <w:pPr>
              <w:pStyle w:val="ListParagraph"/>
              <w:numPr>
                <w:ilvl w:val="0"/>
                <w:numId w:val="8"/>
              </w:numPr>
              <w:ind w:left="376"/>
              <w:rPr>
                <w:rFonts w:ascii="Arial Narrow" w:hAnsi="Arial Narrow"/>
              </w:rPr>
            </w:pPr>
            <w:r>
              <w:rPr>
                <w:rFonts w:ascii="Arial Narrow" w:hAnsi="Arial Narrow"/>
              </w:rPr>
              <w:t>Based on the consultant’s report, define the scope of the collection by analyzing the subject classifications found in the catalog records for titles identified as part of the collection.  This analysis will be completed by December 31, 2011, and will outline the collection using the alphanumeric Library of Congress classification scheme for subject classification.</w:t>
            </w:r>
          </w:p>
          <w:p w:rsidR="00030D5F" w:rsidRDefault="00030D5F" w:rsidP="006C0928">
            <w:pPr>
              <w:pStyle w:val="ListParagraph"/>
              <w:numPr>
                <w:ilvl w:val="0"/>
                <w:numId w:val="8"/>
              </w:numPr>
              <w:ind w:left="376"/>
              <w:rPr>
                <w:rFonts w:ascii="Arial Narrow" w:hAnsi="Arial Narrow"/>
              </w:rPr>
            </w:pPr>
            <w:r>
              <w:rPr>
                <w:rFonts w:ascii="Arial Narrow" w:hAnsi="Arial Narrow"/>
              </w:rPr>
              <w:t>Map the scope of the collection (as determ</w:t>
            </w:r>
            <w:r w:rsidR="009A33EE">
              <w:rPr>
                <w:rFonts w:ascii="Arial Narrow" w:hAnsi="Arial Narrow"/>
              </w:rPr>
              <w:t>ined from the analysis in item 3</w:t>
            </w:r>
            <w:r>
              <w:rPr>
                <w:rFonts w:ascii="Arial Narrow" w:hAnsi="Arial Narrow"/>
              </w:rPr>
              <w:t>b) to NMU’s curriculum, to be completed by March 31, 2012. The map will specify subject strengths of the collection and academic programs.</w:t>
            </w:r>
          </w:p>
          <w:p w:rsidR="00030D5F" w:rsidRDefault="00030D5F">
            <w:pPr>
              <w:pStyle w:val="Default"/>
              <w:spacing w:line="276" w:lineRule="auto"/>
              <w:rPr>
                <w:rFonts w:ascii="Arial Narrow" w:hAnsi="Arial Narrow"/>
                <w:sz w:val="22"/>
                <w:szCs w:val="22"/>
              </w:rPr>
            </w:pPr>
            <w:r>
              <w:rPr>
                <w:rFonts w:ascii="Arial Narrow" w:hAnsi="Arial Narrow"/>
                <w:i/>
                <w:iCs/>
                <w:sz w:val="22"/>
                <w:szCs w:val="22"/>
              </w:rPr>
              <w:t>Beyond completing the above steps, how will you judge whether the objective was a success</w:t>
            </w:r>
            <w:r>
              <w:rPr>
                <w:rFonts w:ascii="Arial Narrow" w:hAnsi="Arial Narrow"/>
                <w:sz w:val="22"/>
                <w:szCs w:val="22"/>
              </w:rPr>
              <w:t>?</w:t>
            </w:r>
            <w:r>
              <w:rPr>
                <w:rFonts w:ascii="Arial Narrow" w:hAnsi="Arial Narrow"/>
                <w:sz w:val="22"/>
                <w:szCs w:val="22"/>
                <w:vertAlign w:val="superscript"/>
              </w:rPr>
              <w:t>1</w:t>
            </w:r>
            <w:r>
              <w:rPr>
                <w:rFonts w:ascii="Arial Narrow" w:hAnsi="Arial Narrow"/>
                <w:sz w:val="22"/>
                <w:szCs w:val="22"/>
              </w:rPr>
              <w:t xml:space="preserve"> </w:t>
            </w:r>
          </w:p>
        </w:tc>
      </w:tr>
      <w:tr w:rsidR="00030D5F" w:rsidRPr="00A146F0" w:rsidTr="006C0928">
        <w:tc>
          <w:tcPr>
            <w:tcW w:w="4788" w:type="dxa"/>
            <w:tcMar>
              <w:top w:w="0" w:type="dxa"/>
              <w:left w:w="108" w:type="dxa"/>
              <w:bottom w:w="0" w:type="dxa"/>
              <w:right w:w="108" w:type="dxa"/>
            </w:tcMar>
            <w:vAlign w:val="center"/>
            <w:hideMark/>
          </w:tcPr>
          <w:p w:rsidR="00030D5F" w:rsidRPr="00A146F0" w:rsidRDefault="00030D5F">
            <w:pPr>
              <w:spacing w:before="60" w:after="120" w:line="276" w:lineRule="auto"/>
              <w:rPr>
                <w:rFonts w:ascii="Arial Narrow" w:hAnsi="Arial Narrow"/>
                <w:b/>
                <w:bCs/>
                <w:sz w:val="24"/>
                <w:szCs w:val="24"/>
              </w:rPr>
            </w:pPr>
            <w:r w:rsidRPr="00A146F0">
              <w:rPr>
                <w:rFonts w:ascii="Arial Narrow" w:hAnsi="Arial Narrow"/>
                <w:b/>
                <w:bCs/>
              </w:rPr>
              <w:t>Summary of Data Collected (</w:t>
            </w:r>
            <w:r w:rsidRPr="00A146F0">
              <w:rPr>
                <w:rFonts w:ascii="Arial Narrow" w:hAnsi="Arial Narrow"/>
              </w:rPr>
              <w:t>Summarize the evidence)</w:t>
            </w:r>
          </w:p>
        </w:tc>
        <w:tc>
          <w:tcPr>
            <w:tcW w:w="236" w:type="dxa"/>
            <w:tcMar>
              <w:top w:w="0" w:type="dxa"/>
              <w:left w:w="108" w:type="dxa"/>
              <w:bottom w:w="0" w:type="dxa"/>
              <w:right w:w="108" w:type="dxa"/>
            </w:tcMar>
            <w:vAlign w:val="center"/>
          </w:tcPr>
          <w:p w:rsidR="00030D5F" w:rsidRPr="00A146F0" w:rsidRDefault="00030D5F">
            <w:pPr>
              <w:spacing w:before="60" w:after="120" w:line="276" w:lineRule="auto"/>
              <w:rPr>
                <w:rFonts w:ascii="Arial Narrow" w:hAnsi="Arial Narrow"/>
                <w:b/>
                <w:bCs/>
                <w:sz w:val="24"/>
                <w:szCs w:val="24"/>
              </w:rPr>
            </w:pPr>
          </w:p>
        </w:tc>
        <w:tc>
          <w:tcPr>
            <w:tcW w:w="4552" w:type="dxa"/>
            <w:tcMar>
              <w:top w:w="0" w:type="dxa"/>
              <w:left w:w="108" w:type="dxa"/>
              <w:bottom w:w="0" w:type="dxa"/>
              <w:right w:w="108" w:type="dxa"/>
            </w:tcMar>
            <w:vAlign w:val="center"/>
            <w:hideMark/>
          </w:tcPr>
          <w:p w:rsidR="00030D5F" w:rsidRPr="00A146F0" w:rsidRDefault="00030D5F">
            <w:pPr>
              <w:spacing w:before="60" w:after="120" w:line="276" w:lineRule="auto"/>
              <w:rPr>
                <w:rFonts w:ascii="Arial Narrow" w:hAnsi="Arial Narrow"/>
                <w:b/>
                <w:bCs/>
                <w:sz w:val="24"/>
                <w:szCs w:val="24"/>
              </w:rPr>
            </w:pPr>
            <w:r w:rsidRPr="00A146F0">
              <w:rPr>
                <w:rFonts w:ascii="Arial Narrow" w:hAnsi="Arial Narrow"/>
                <w:b/>
                <w:bCs/>
              </w:rPr>
              <w:t>Use of Results to Improve Unit Services</w:t>
            </w:r>
          </w:p>
        </w:tc>
      </w:tr>
      <w:tr w:rsidR="00030D5F" w:rsidRPr="00A146F0" w:rsidTr="006C0928">
        <w:tc>
          <w:tcPr>
            <w:tcW w:w="4788" w:type="dxa"/>
            <w:tcBorders>
              <w:top w:val="nil"/>
              <w:left w:val="nil"/>
              <w:bottom w:val="single" w:sz="8" w:space="0" w:color="auto"/>
              <w:right w:val="nil"/>
            </w:tcBorders>
            <w:shd w:val="clear" w:color="auto" w:fill="F2F2F2"/>
            <w:tcMar>
              <w:top w:w="0" w:type="dxa"/>
              <w:left w:w="108" w:type="dxa"/>
              <w:bottom w:w="0" w:type="dxa"/>
              <w:right w:w="108" w:type="dxa"/>
            </w:tcMar>
            <w:hideMark/>
          </w:tcPr>
          <w:p w:rsidR="00030D5F" w:rsidRPr="00A146F0" w:rsidRDefault="0093258C" w:rsidP="006C0928">
            <w:pPr>
              <w:pStyle w:val="ListParagraph"/>
              <w:numPr>
                <w:ilvl w:val="0"/>
                <w:numId w:val="14"/>
              </w:numPr>
              <w:ind w:left="360"/>
              <w:rPr>
                <w:rFonts w:ascii="Arial Narrow" w:hAnsi="Arial Narrow"/>
              </w:rPr>
            </w:pPr>
            <w:r w:rsidRPr="00A146F0">
              <w:rPr>
                <w:rFonts w:ascii="Arial Narrow" w:hAnsi="Arial Narrow"/>
              </w:rPr>
              <w:t xml:space="preserve">The consultant’s report was received </w:t>
            </w:r>
            <w:r w:rsidR="00D50477" w:rsidRPr="00A146F0">
              <w:rPr>
                <w:rFonts w:ascii="Arial Narrow" w:hAnsi="Arial Narrow"/>
              </w:rPr>
              <w:t xml:space="preserve">on time </w:t>
            </w:r>
            <w:r w:rsidR="00827E25">
              <w:rPr>
                <w:rFonts w:ascii="Arial Narrow" w:hAnsi="Arial Narrow"/>
              </w:rPr>
              <w:t>in August, 201</w:t>
            </w:r>
            <w:r w:rsidRPr="00A146F0">
              <w:rPr>
                <w:rFonts w:ascii="Arial Narrow" w:hAnsi="Arial Narrow"/>
              </w:rPr>
              <w:t xml:space="preserve">1, </w:t>
            </w:r>
            <w:r w:rsidR="00D50477" w:rsidRPr="00A146F0">
              <w:rPr>
                <w:rFonts w:ascii="Arial Narrow" w:hAnsi="Arial Narrow"/>
              </w:rPr>
              <w:t xml:space="preserve">and far exceeded our expectations. It provided both broad insight on and close analysis of </w:t>
            </w:r>
            <w:r w:rsidRPr="00A146F0">
              <w:rPr>
                <w:rFonts w:ascii="Arial Narrow" w:hAnsi="Arial Narrow"/>
              </w:rPr>
              <w:t>the collection</w:t>
            </w:r>
            <w:r w:rsidR="004E5F8E" w:rsidRPr="00A146F0">
              <w:rPr>
                <w:rFonts w:ascii="Arial Narrow" w:hAnsi="Arial Narrow"/>
              </w:rPr>
              <w:t xml:space="preserve">’s strengths and </w:t>
            </w:r>
            <w:r w:rsidRPr="00A146F0">
              <w:rPr>
                <w:rFonts w:ascii="Arial Narrow" w:hAnsi="Arial Narrow"/>
              </w:rPr>
              <w:t xml:space="preserve">weaknesses, and </w:t>
            </w:r>
            <w:r w:rsidR="004E5F8E" w:rsidRPr="00A146F0">
              <w:rPr>
                <w:rFonts w:ascii="Arial Narrow" w:hAnsi="Arial Narrow"/>
              </w:rPr>
              <w:t>recommendations</w:t>
            </w:r>
            <w:r w:rsidRPr="00A146F0">
              <w:rPr>
                <w:rFonts w:ascii="Arial Narrow" w:hAnsi="Arial Narrow"/>
              </w:rPr>
              <w:t xml:space="preserve"> for continued development</w:t>
            </w:r>
            <w:r w:rsidRPr="00A146F0">
              <w:rPr>
                <w:rFonts w:ascii="Arial Narrow" w:hAnsi="Arial Narrow"/>
                <w:sz w:val="24"/>
                <w:szCs w:val="24"/>
              </w:rPr>
              <w:t xml:space="preserve">. </w:t>
            </w:r>
            <w:r w:rsidRPr="00A146F0">
              <w:rPr>
                <w:rFonts w:ascii="Arial Narrow" w:hAnsi="Arial Narrow"/>
              </w:rPr>
              <w:t>The report was extensive and detailed (</w:t>
            </w:r>
            <w:r w:rsidR="00734F13">
              <w:rPr>
                <w:rFonts w:ascii="Arial Narrow" w:hAnsi="Arial Narrow"/>
              </w:rPr>
              <w:t xml:space="preserve">see attached files </w:t>
            </w:r>
            <w:r w:rsidR="00734F13" w:rsidRPr="00734F13">
              <w:rPr>
                <w:rFonts w:ascii="Arial Narrow" w:hAnsi="Arial Narrow"/>
              </w:rPr>
              <w:t>HolocaustAssessmentReportHW20110815.doc</w:t>
            </w:r>
            <w:r w:rsidR="00734F13">
              <w:rPr>
                <w:rFonts w:ascii="Arial Narrow" w:hAnsi="Arial Narrow"/>
              </w:rPr>
              <w:t xml:space="preserve">, </w:t>
            </w:r>
            <w:r w:rsidR="00B315DD" w:rsidRPr="00B315DD">
              <w:rPr>
                <w:rFonts w:ascii="Arial Narrow" w:hAnsi="Arial Narrow"/>
              </w:rPr>
              <w:t>HolocaustAssessmentReportAppendixesD-FHW20110815.xls</w:t>
            </w:r>
            <w:r w:rsidR="00B315DD">
              <w:rPr>
                <w:rFonts w:ascii="Arial Narrow" w:hAnsi="Arial Narrow"/>
              </w:rPr>
              <w:t xml:space="preserve">, </w:t>
            </w:r>
            <w:r w:rsidR="00CB707E">
              <w:rPr>
                <w:rFonts w:ascii="Arial Narrow" w:hAnsi="Arial Narrow"/>
              </w:rPr>
              <w:t xml:space="preserve">and </w:t>
            </w:r>
            <w:r w:rsidR="00B315DD" w:rsidRPr="00B315DD">
              <w:rPr>
                <w:rFonts w:ascii="Arial Narrow" w:hAnsi="Arial Narrow"/>
              </w:rPr>
              <w:t>HolocaustAssessmentReportAppendixKeHW20110818.xlsx</w:t>
            </w:r>
            <w:r w:rsidRPr="00A146F0">
              <w:rPr>
                <w:rFonts w:ascii="Arial Narrow" w:hAnsi="Arial Narrow"/>
              </w:rPr>
              <w:t>)</w:t>
            </w:r>
            <w:r w:rsidR="00EF056F" w:rsidRPr="00A146F0">
              <w:rPr>
                <w:rFonts w:ascii="Arial Narrow" w:hAnsi="Arial Narrow"/>
              </w:rPr>
              <w:t>.</w:t>
            </w:r>
            <w:r w:rsidR="008C091C">
              <w:rPr>
                <w:rFonts w:ascii="Arial Narrow" w:hAnsi="Arial Narrow"/>
              </w:rPr>
              <w:t xml:space="preserve"> </w:t>
            </w:r>
          </w:p>
          <w:p w:rsidR="00D50477" w:rsidRPr="00A146F0" w:rsidRDefault="00D50477" w:rsidP="006C0928">
            <w:pPr>
              <w:pStyle w:val="ListParagraph"/>
              <w:numPr>
                <w:ilvl w:val="0"/>
                <w:numId w:val="14"/>
              </w:numPr>
              <w:ind w:left="360"/>
              <w:rPr>
                <w:rFonts w:ascii="Arial Narrow" w:hAnsi="Arial Narrow"/>
                <w:sz w:val="24"/>
                <w:szCs w:val="24"/>
              </w:rPr>
            </w:pPr>
            <w:r w:rsidRPr="00A146F0">
              <w:rPr>
                <w:rFonts w:ascii="Arial Narrow" w:hAnsi="Arial Narrow"/>
              </w:rPr>
              <w:t>Subject mapping of the c</w:t>
            </w:r>
            <w:r w:rsidR="008D07E2">
              <w:rPr>
                <w:rFonts w:ascii="Arial Narrow" w:hAnsi="Arial Narrow"/>
              </w:rPr>
              <w:t xml:space="preserve">ollection was completed </w:t>
            </w:r>
            <w:r w:rsidR="00EF056F" w:rsidRPr="00A146F0">
              <w:rPr>
                <w:rFonts w:ascii="Arial Narrow" w:hAnsi="Arial Narrow"/>
              </w:rPr>
              <w:t>(</w:t>
            </w:r>
            <w:r w:rsidR="00B315DD">
              <w:rPr>
                <w:rFonts w:ascii="Arial Narrow" w:hAnsi="Arial Narrow"/>
              </w:rPr>
              <w:t xml:space="preserve">see </w:t>
            </w:r>
            <w:r w:rsidR="00EF056F" w:rsidRPr="00A146F0">
              <w:rPr>
                <w:rFonts w:ascii="Arial Narrow" w:hAnsi="Arial Narrow"/>
              </w:rPr>
              <w:t>attached</w:t>
            </w:r>
            <w:r w:rsidR="00B315DD">
              <w:rPr>
                <w:rFonts w:ascii="Arial Narrow" w:hAnsi="Arial Narrow"/>
              </w:rPr>
              <w:t xml:space="preserve"> file </w:t>
            </w:r>
            <w:r w:rsidR="00DD5712" w:rsidRPr="00DD5712">
              <w:rPr>
                <w:rFonts w:ascii="Arial Narrow" w:hAnsi="Arial Narrow"/>
              </w:rPr>
              <w:t>HolocaustBibsAnalysis20120718.xlsx</w:t>
            </w:r>
            <w:r w:rsidR="00B315DD">
              <w:rPr>
                <w:rFonts w:ascii="Arial Narrow" w:hAnsi="Arial Narrow"/>
              </w:rPr>
              <w:t>, tab “</w:t>
            </w:r>
            <w:proofErr w:type="spellStart"/>
            <w:r w:rsidR="00B315DD">
              <w:rPr>
                <w:rFonts w:ascii="Arial Narrow" w:hAnsi="Arial Narrow"/>
              </w:rPr>
              <w:t>SubjectDist</w:t>
            </w:r>
            <w:proofErr w:type="spellEnd"/>
            <w:r w:rsidR="00B315DD">
              <w:rPr>
                <w:rFonts w:ascii="Arial Narrow" w:hAnsi="Arial Narrow"/>
              </w:rPr>
              <w:t>”</w:t>
            </w:r>
            <w:r w:rsidR="00EF056F" w:rsidRPr="00A146F0">
              <w:rPr>
                <w:rFonts w:ascii="Arial Narrow" w:hAnsi="Arial Narrow"/>
              </w:rPr>
              <w:t>)</w:t>
            </w:r>
            <w:r w:rsidRPr="00A146F0">
              <w:rPr>
                <w:rFonts w:ascii="Arial Narrow" w:hAnsi="Arial Narrow"/>
              </w:rPr>
              <w:t xml:space="preserve">. In close </w:t>
            </w:r>
            <w:r w:rsidR="00EF056F" w:rsidRPr="00A146F0">
              <w:rPr>
                <w:rFonts w:ascii="Arial Narrow" w:hAnsi="Arial Narrow"/>
              </w:rPr>
              <w:t xml:space="preserve">agreement </w:t>
            </w:r>
            <w:r w:rsidRPr="00A146F0">
              <w:rPr>
                <w:rFonts w:ascii="Arial Narrow" w:hAnsi="Arial Narrow"/>
              </w:rPr>
              <w:t xml:space="preserve">with </w:t>
            </w:r>
            <w:r w:rsidR="00EF056F" w:rsidRPr="00A146F0">
              <w:rPr>
                <w:rFonts w:ascii="Arial Narrow" w:hAnsi="Arial Narrow"/>
              </w:rPr>
              <w:t xml:space="preserve">the consultant’s </w:t>
            </w:r>
            <w:r w:rsidR="00AD4DAF">
              <w:rPr>
                <w:rFonts w:ascii="Arial Narrow" w:hAnsi="Arial Narrow"/>
              </w:rPr>
              <w:t>assessment</w:t>
            </w:r>
            <w:r w:rsidR="00EF056F" w:rsidRPr="00A146F0">
              <w:rPr>
                <w:rFonts w:ascii="Arial Narrow" w:hAnsi="Arial Narrow"/>
              </w:rPr>
              <w:t xml:space="preserve">, we found that the collection’s relative </w:t>
            </w:r>
            <w:r w:rsidR="008D07E2">
              <w:rPr>
                <w:rFonts w:ascii="Arial Narrow" w:hAnsi="Arial Narrow"/>
              </w:rPr>
              <w:t xml:space="preserve">emphases </w:t>
            </w:r>
            <w:r w:rsidR="00EF056F" w:rsidRPr="00A146F0">
              <w:rPr>
                <w:rFonts w:ascii="Arial Narrow" w:hAnsi="Arial Narrow"/>
              </w:rPr>
              <w:t>lie in world history, language and literature, social sciences, and philosophy</w:t>
            </w:r>
            <w:r w:rsidR="00EF056F" w:rsidRPr="00A146F0">
              <w:rPr>
                <w:rFonts w:ascii="Arial Narrow" w:hAnsi="Arial Narrow"/>
                <w:sz w:val="24"/>
                <w:szCs w:val="24"/>
              </w:rPr>
              <w:t>.</w:t>
            </w:r>
          </w:p>
          <w:p w:rsidR="00EF056F" w:rsidRPr="008C091C" w:rsidRDefault="00EF056F" w:rsidP="006C0928">
            <w:pPr>
              <w:pStyle w:val="ListParagraph"/>
              <w:numPr>
                <w:ilvl w:val="0"/>
                <w:numId w:val="14"/>
              </w:numPr>
              <w:ind w:left="360"/>
              <w:rPr>
                <w:rFonts w:ascii="Arial Narrow" w:hAnsi="Arial Narrow"/>
                <w:sz w:val="24"/>
                <w:szCs w:val="24"/>
              </w:rPr>
            </w:pPr>
            <w:r w:rsidRPr="00A146F0">
              <w:rPr>
                <w:rFonts w:ascii="Arial Narrow" w:hAnsi="Arial Narrow"/>
              </w:rPr>
              <w:t xml:space="preserve">Mapping the collection to the curriculum </w:t>
            </w:r>
            <w:r w:rsidR="008178CE" w:rsidRPr="00A146F0">
              <w:rPr>
                <w:rFonts w:ascii="Arial Narrow" w:hAnsi="Arial Narrow"/>
              </w:rPr>
              <w:t xml:space="preserve">still </w:t>
            </w:r>
            <w:r w:rsidRPr="00A146F0">
              <w:rPr>
                <w:rFonts w:ascii="Arial Narrow" w:hAnsi="Arial Narrow"/>
              </w:rPr>
              <w:t>remains to be completed. With the consultant’s report and the subject mapping</w:t>
            </w:r>
            <w:r w:rsidR="008178CE" w:rsidRPr="00A146F0">
              <w:rPr>
                <w:rFonts w:ascii="Arial Narrow" w:hAnsi="Arial Narrow"/>
              </w:rPr>
              <w:t xml:space="preserve"> in hand</w:t>
            </w:r>
            <w:r w:rsidRPr="00A146F0">
              <w:rPr>
                <w:rFonts w:ascii="Arial Narrow" w:hAnsi="Arial Narrow"/>
              </w:rPr>
              <w:t xml:space="preserve">, we </w:t>
            </w:r>
            <w:r w:rsidR="008178CE" w:rsidRPr="00A146F0">
              <w:rPr>
                <w:rFonts w:ascii="Arial Narrow" w:hAnsi="Arial Narrow"/>
              </w:rPr>
              <w:t>developed</w:t>
            </w:r>
            <w:r w:rsidRPr="00A146F0">
              <w:rPr>
                <w:rFonts w:ascii="Arial Narrow" w:hAnsi="Arial Narrow"/>
              </w:rPr>
              <w:t xml:space="preserve"> a data-based method of conducting the curriculum mapping, </w:t>
            </w:r>
            <w:r w:rsidR="008178CE" w:rsidRPr="00A146F0">
              <w:rPr>
                <w:rFonts w:ascii="Arial Narrow" w:hAnsi="Arial Narrow"/>
              </w:rPr>
              <w:t>relying</w:t>
            </w:r>
            <w:r w:rsidRPr="00A146F0">
              <w:rPr>
                <w:rFonts w:ascii="Arial Narrow" w:hAnsi="Arial Narrow"/>
              </w:rPr>
              <w:t xml:space="preserve"> on </w:t>
            </w:r>
            <w:r w:rsidR="008178CE" w:rsidRPr="00A146F0">
              <w:rPr>
                <w:rFonts w:ascii="Arial Narrow" w:hAnsi="Arial Narrow"/>
              </w:rPr>
              <w:t xml:space="preserve">course </w:t>
            </w:r>
            <w:r w:rsidRPr="00A146F0">
              <w:rPr>
                <w:rFonts w:ascii="Arial Narrow" w:hAnsi="Arial Narrow"/>
              </w:rPr>
              <w:t xml:space="preserve">data to be provided by Academic Affairs. Extracting and compiling that data has proven quite </w:t>
            </w:r>
            <w:r w:rsidR="008178CE" w:rsidRPr="00A146F0">
              <w:rPr>
                <w:rFonts w:ascii="Arial Narrow" w:hAnsi="Arial Narrow"/>
              </w:rPr>
              <w:t>challenging</w:t>
            </w:r>
            <w:r w:rsidRPr="00A146F0">
              <w:rPr>
                <w:rFonts w:ascii="Arial Narrow" w:hAnsi="Arial Narrow"/>
              </w:rPr>
              <w:t xml:space="preserve">, and we have not yet </w:t>
            </w:r>
            <w:r w:rsidRPr="00A146F0">
              <w:rPr>
                <w:rFonts w:ascii="Arial Narrow" w:hAnsi="Arial Narrow"/>
              </w:rPr>
              <w:lastRenderedPageBreak/>
              <w:t>received it.</w:t>
            </w:r>
            <w:r w:rsidR="00B931A6" w:rsidRPr="00A146F0">
              <w:rPr>
                <w:rFonts w:ascii="Arial Narrow" w:hAnsi="Arial Narrow"/>
              </w:rPr>
              <w:t xml:space="preserve"> We plan to complete the curriculum mapping and begin outreach and dissemination activities in FY13.</w:t>
            </w:r>
          </w:p>
          <w:p w:rsidR="008C091C" w:rsidRDefault="008C091C" w:rsidP="006C0928">
            <w:pPr>
              <w:pStyle w:val="ListParagraph"/>
              <w:ind w:left="360"/>
              <w:rPr>
                <w:rFonts w:ascii="Arial Narrow" w:hAnsi="Arial Narrow"/>
              </w:rPr>
            </w:pPr>
          </w:p>
          <w:p w:rsidR="008C091C" w:rsidRPr="008C091C" w:rsidRDefault="008C091C" w:rsidP="008C091C">
            <w:pPr>
              <w:pStyle w:val="ListParagraph"/>
              <w:rPr>
                <w:rFonts w:ascii="Arial Narrow" w:hAnsi="Arial Narrow"/>
                <w:color w:val="FF0000"/>
                <w:sz w:val="24"/>
                <w:szCs w:val="24"/>
              </w:rPr>
            </w:pPr>
          </w:p>
        </w:tc>
        <w:tc>
          <w:tcPr>
            <w:tcW w:w="236" w:type="dxa"/>
            <w:tcBorders>
              <w:top w:val="nil"/>
              <w:left w:val="nil"/>
              <w:bottom w:val="single" w:sz="8" w:space="0" w:color="auto"/>
              <w:right w:val="nil"/>
            </w:tcBorders>
            <w:tcMar>
              <w:top w:w="0" w:type="dxa"/>
              <w:left w:w="108" w:type="dxa"/>
              <w:bottom w:w="0" w:type="dxa"/>
              <w:right w:w="108" w:type="dxa"/>
            </w:tcMar>
          </w:tcPr>
          <w:p w:rsidR="00030D5F" w:rsidRPr="00A146F0" w:rsidRDefault="00030D5F">
            <w:pPr>
              <w:spacing w:line="276" w:lineRule="auto"/>
              <w:rPr>
                <w:rFonts w:ascii="Arial Narrow" w:hAnsi="Arial Narrow"/>
                <w:i/>
                <w:iCs/>
                <w:sz w:val="24"/>
                <w:szCs w:val="24"/>
              </w:rPr>
            </w:pPr>
          </w:p>
        </w:tc>
        <w:tc>
          <w:tcPr>
            <w:tcW w:w="4552" w:type="dxa"/>
            <w:tcBorders>
              <w:top w:val="nil"/>
              <w:left w:val="nil"/>
              <w:bottom w:val="single" w:sz="8" w:space="0" w:color="auto"/>
              <w:right w:val="nil"/>
            </w:tcBorders>
            <w:shd w:val="clear" w:color="auto" w:fill="F2F2F2"/>
            <w:tcMar>
              <w:top w:w="0" w:type="dxa"/>
              <w:left w:w="108" w:type="dxa"/>
              <w:bottom w:w="0" w:type="dxa"/>
              <w:right w:w="108" w:type="dxa"/>
            </w:tcMar>
            <w:hideMark/>
          </w:tcPr>
          <w:p w:rsidR="00A146F0" w:rsidRPr="00A146F0" w:rsidRDefault="00A146F0" w:rsidP="006C0928">
            <w:pPr>
              <w:pStyle w:val="ListParagraph"/>
              <w:numPr>
                <w:ilvl w:val="0"/>
                <w:numId w:val="19"/>
              </w:numPr>
              <w:ind w:left="376"/>
              <w:rPr>
                <w:rFonts w:ascii="Arial Narrow" w:hAnsi="Arial Narrow"/>
                <w:color w:val="000000" w:themeColor="text1"/>
              </w:rPr>
            </w:pPr>
            <w:r w:rsidRPr="00A146F0">
              <w:rPr>
                <w:rFonts w:ascii="Arial Narrow" w:hAnsi="Arial Narrow"/>
              </w:rPr>
              <w:t>While we expected to take some time to shape our strategies in response, we did not expect so much information to absorb. The result was a slower response to the report than planned.</w:t>
            </w:r>
          </w:p>
          <w:p w:rsidR="00956F77" w:rsidRPr="00A146F0" w:rsidRDefault="00956F77" w:rsidP="006C0928">
            <w:pPr>
              <w:pStyle w:val="ListParagraph"/>
              <w:numPr>
                <w:ilvl w:val="0"/>
                <w:numId w:val="19"/>
              </w:numPr>
              <w:ind w:left="376"/>
              <w:rPr>
                <w:rFonts w:ascii="Arial Narrow" w:hAnsi="Arial Narrow"/>
                <w:color w:val="000000" w:themeColor="text1"/>
              </w:rPr>
            </w:pPr>
            <w:r w:rsidRPr="00A146F0">
              <w:rPr>
                <w:rFonts w:ascii="Arial Narrow" w:hAnsi="Arial Narrow"/>
                <w:color w:val="000000" w:themeColor="text1"/>
              </w:rPr>
              <w:t>The subject mapping gave us hard local data on the collection itself to support the consultant’s assessment report, and on which to build our plan for mapping the collection to the curriculum.</w:t>
            </w:r>
          </w:p>
          <w:p w:rsidR="007F2877" w:rsidRPr="00A146F0" w:rsidRDefault="00956F77" w:rsidP="006C0928">
            <w:pPr>
              <w:pStyle w:val="ListParagraph"/>
              <w:numPr>
                <w:ilvl w:val="0"/>
                <w:numId w:val="19"/>
              </w:numPr>
              <w:ind w:left="376"/>
              <w:rPr>
                <w:rFonts w:ascii="Arial Narrow" w:hAnsi="Arial Narrow"/>
                <w:color w:val="000000" w:themeColor="text1"/>
              </w:rPr>
            </w:pPr>
            <w:r w:rsidRPr="00A146F0">
              <w:rPr>
                <w:rFonts w:ascii="Arial Narrow" w:hAnsi="Arial Narrow"/>
                <w:color w:val="000000" w:themeColor="text1"/>
              </w:rPr>
              <w:t>We considered several methods of mapping to the curriculum</w:t>
            </w:r>
            <w:r w:rsidR="000B28BA" w:rsidRPr="00A146F0">
              <w:rPr>
                <w:rFonts w:ascii="Arial Narrow" w:hAnsi="Arial Narrow"/>
                <w:color w:val="000000" w:themeColor="text1"/>
              </w:rPr>
              <w:t>, including starting with surveying departments, working with an honors student to develop an independent research project, or creating department surveys/discussions via our subject liaison librarians.</w:t>
            </w:r>
            <w:r w:rsidRPr="00A146F0">
              <w:rPr>
                <w:rFonts w:ascii="Arial Narrow" w:hAnsi="Arial Narrow"/>
                <w:color w:val="000000" w:themeColor="text1"/>
              </w:rPr>
              <w:t xml:space="preserve"> The consultant’s report and our subject map</w:t>
            </w:r>
            <w:r w:rsidR="000B28BA" w:rsidRPr="00A146F0">
              <w:rPr>
                <w:rFonts w:ascii="Arial Narrow" w:hAnsi="Arial Narrow"/>
                <w:color w:val="000000" w:themeColor="text1"/>
              </w:rPr>
              <w:t>,</w:t>
            </w:r>
            <w:r w:rsidRPr="00A146F0">
              <w:rPr>
                <w:rFonts w:ascii="Arial Narrow" w:hAnsi="Arial Narrow"/>
                <w:color w:val="000000" w:themeColor="text1"/>
              </w:rPr>
              <w:t xml:space="preserve"> </w:t>
            </w:r>
            <w:r w:rsidR="000B28BA" w:rsidRPr="00A146F0">
              <w:rPr>
                <w:rFonts w:ascii="Arial Narrow" w:hAnsi="Arial Narrow"/>
                <w:color w:val="000000" w:themeColor="text1"/>
              </w:rPr>
              <w:t>showing that the collection’s strengths lay in a few areas, suggested</w:t>
            </w:r>
            <w:r w:rsidRPr="00A146F0">
              <w:rPr>
                <w:rFonts w:ascii="Arial Narrow" w:hAnsi="Arial Narrow"/>
                <w:color w:val="000000" w:themeColor="text1"/>
              </w:rPr>
              <w:t xml:space="preserve"> that </w:t>
            </w:r>
            <w:r w:rsidR="000B28BA" w:rsidRPr="00A146F0">
              <w:rPr>
                <w:rFonts w:ascii="Arial Narrow" w:hAnsi="Arial Narrow"/>
                <w:color w:val="000000" w:themeColor="text1"/>
              </w:rPr>
              <w:t xml:space="preserve">focusing </w:t>
            </w:r>
            <w:r w:rsidR="00547572" w:rsidRPr="00A146F0">
              <w:rPr>
                <w:rFonts w:ascii="Arial Narrow" w:hAnsi="Arial Narrow"/>
                <w:color w:val="000000" w:themeColor="text1"/>
              </w:rPr>
              <w:t xml:space="preserve">initially </w:t>
            </w:r>
            <w:r w:rsidR="000B28BA" w:rsidRPr="00A146F0">
              <w:rPr>
                <w:rFonts w:ascii="Arial Narrow" w:hAnsi="Arial Narrow"/>
                <w:color w:val="000000" w:themeColor="text1"/>
              </w:rPr>
              <w:t>on the related departments would</w:t>
            </w:r>
            <w:r w:rsidR="002C2907">
              <w:rPr>
                <w:rFonts w:ascii="Arial Narrow" w:hAnsi="Arial Narrow"/>
                <w:color w:val="000000" w:themeColor="text1"/>
              </w:rPr>
              <w:t xml:space="preserve"> be the most fruitful approach. We then felt that i</w:t>
            </w:r>
            <w:r w:rsidR="000B28BA" w:rsidRPr="00A146F0">
              <w:rPr>
                <w:rFonts w:ascii="Arial Narrow" w:hAnsi="Arial Narrow"/>
                <w:color w:val="000000" w:themeColor="text1"/>
              </w:rPr>
              <w:t>dentifying course instructors could be done</w:t>
            </w:r>
            <w:r w:rsidRPr="00A146F0">
              <w:rPr>
                <w:rFonts w:ascii="Arial Narrow" w:hAnsi="Arial Narrow"/>
                <w:color w:val="000000" w:themeColor="text1"/>
              </w:rPr>
              <w:t xml:space="preserve"> </w:t>
            </w:r>
            <w:r w:rsidR="002C2907">
              <w:rPr>
                <w:rFonts w:ascii="Arial Narrow" w:hAnsi="Arial Narrow"/>
                <w:color w:val="000000" w:themeColor="text1"/>
              </w:rPr>
              <w:t xml:space="preserve">efficiently by </w:t>
            </w:r>
            <w:r w:rsidRPr="00A146F0">
              <w:rPr>
                <w:rFonts w:ascii="Arial Narrow" w:hAnsi="Arial Narrow"/>
                <w:color w:val="000000" w:themeColor="text1"/>
              </w:rPr>
              <w:t>using course data from the university’s online bulletin system.</w:t>
            </w:r>
            <w:r w:rsidR="000B28BA" w:rsidRPr="00A146F0">
              <w:rPr>
                <w:rFonts w:ascii="Arial Narrow" w:hAnsi="Arial Narrow"/>
                <w:color w:val="000000" w:themeColor="text1"/>
              </w:rPr>
              <w:t xml:space="preserve"> From that information, syllabi could be collected and those instructors contacted for further discussion about the collection and its potential instruction uses. This approach would naturally lead into more actively promoting the collection’s use, and would give the library a toehold in broadening </w:t>
            </w:r>
            <w:r w:rsidR="000B28BA" w:rsidRPr="00A146F0">
              <w:rPr>
                <w:rFonts w:ascii="Arial Narrow" w:hAnsi="Arial Narrow"/>
                <w:color w:val="000000" w:themeColor="text1"/>
              </w:rPr>
              <w:lastRenderedPageBreak/>
              <w:t>outreach to more departments. The plan relies, however, on course data from Academic Affairs, which we understand has been difficult to generate. It is still in process, and we’re confident that it will come.</w:t>
            </w:r>
          </w:p>
        </w:tc>
      </w:tr>
    </w:tbl>
    <w:p w:rsidR="00030D5F" w:rsidRDefault="00030D5F" w:rsidP="00030D5F">
      <w:pPr>
        <w:rPr>
          <w:rFonts w:ascii="Arial Narrow" w:hAnsi="Arial Narrow"/>
          <w:sz w:val="18"/>
          <w:szCs w:val="18"/>
        </w:rPr>
      </w:pPr>
      <w:r>
        <w:rPr>
          <w:rStyle w:val="FootnoteReference"/>
          <w:rFonts w:ascii="Arial Narrow" w:hAnsi="Arial Narrow"/>
          <w:sz w:val="18"/>
          <w:szCs w:val="18"/>
        </w:rPr>
        <w:lastRenderedPageBreak/>
        <w:t>[1]</w:t>
      </w:r>
      <w:r>
        <w:rPr>
          <w:rFonts w:ascii="Arial Narrow" w:hAnsi="Arial Narrow"/>
          <w:sz w:val="18"/>
          <w:szCs w:val="18"/>
        </w:rPr>
        <w:t xml:space="preserve"> Many service units already use an evaluative measure and this approach is now more common in assessment theory– not everything we try works out the way as hoped and creating a target and/or success/bail out threshold is appropriate. In cases where this is a new approach for a unit, in the 2011-12 Plan consider how you </w:t>
      </w:r>
      <w:r>
        <w:rPr>
          <w:rFonts w:ascii="Arial Narrow" w:hAnsi="Arial Narrow"/>
          <w:i/>
          <w:iCs/>
          <w:sz w:val="18"/>
          <w:szCs w:val="18"/>
        </w:rPr>
        <w:t>might</w:t>
      </w:r>
      <w:r>
        <w:rPr>
          <w:rFonts w:ascii="Arial Narrow" w:hAnsi="Arial Narrow"/>
          <w:sz w:val="18"/>
          <w:szCs w:val="18"/>
        </w:rPr>
        <w:t xml:space="preserve"> measure the added value of an objective; however, it is not yet a requirement. The OA committee will provide suggestions in its feedback for this year. During the year, dialogues, additional resources, one-on-one meetings and/or seminars will be held to evolve our OA process.</w:t>
      </w:r>
    </w:p>
    <w:p w:rsidR="00030D5F" w:rsidRDefault="00030D5F" w:rsidP="00030D5F">
      <w:pPr>
        <w:rPr>
          <w:rFonts w:ascii="Arial Narrow" w:hAnsi="Arial Narrow"/>
          <w:b/>
          <w:bCs/>
        </w:rPr>
      </w:pPr>
    </w:p>
    <w:p w:rsidR="00030D5F" w:rsidRDefault="00030D5F" w:rsidP="00030D5F">
      <w:pPr>
        <w:rPr>
          <w:rFonts w:ascii="Arial Narrow" w:hAnsi="Arial Narrow"/>
        </w:rPr>
      </w:pPr>
      <w:r>
        <w:rPr>
          <w:rFonts w:ascii="Arial Narrow" w:hAnsi="Arial Narrow"/>
          <w:b/>
          <w:bCs/>
        </w:rPr>
        <w:t>Road Map Codes to Tie to Unit Objectives</w:t>
      </w:r>
    </w:p>
    <w:p w:rsidR="00030D5F" w:rsidRDefault="00030D5F" w:rsidP="00030D5F">
      <w:pPr>
        <w:rPr>
          <w:rFonts w:ascii="Arial Narrow" w:hAnsi="Arial Narrow"/>
        </w:rPr>
      </w:pPr>
      <w:r>
        <w:rPr>
          <w:rFonts w:ascii="Arial Narrow" w:hAnsi="Arial Narrow"/>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9" w:history="1">
        <w:r>
          <w:rPr>
            <w:rStyle w:val="Hyperlink"/>
            <w:rFonts w:ascii="Arial Narrow" w:hAnsi="Arial Narrow"/>
          </w:rPr>
          <w:t>www.nmu.edu/roadmap2015</w:t>
        </w:r>
      </w:hyperlink>
      <w:r>
        <w:rPr>
          <w:rFonts w:ascii="Arial Narrow" w:hAnsi="Arial Narrow"/>
        </w:rPr>
        <w:t xml:space="preserve">. </w:t>
      </w:r>
    </w:p>
    <w:tbl>
      <w:tblPr>
        <w:tblW w:w="4616" w:type="pct"/>
        <w:tblInd w:w="288" w:type="dxa"/>
        <w:tblCellMar>
          <w:left w:w="0" w:type="dxa"/>
          <w:right w:w="0" w:type="dxa"/>
        </w:tblCellMar>
        <w:tblLook w:val="04A0" w:firstRow="1" w:lastRow="0" w:firstColumn="1" w:lastColumn="0" w:noHBand="0" w:noVBand="1"/>
      </w:tblPr>
      <w:tblGrid>
        <w:gridCol w:w="626"/>
        <w:gridCol w:w="8215"/>
      </w:tblGrid>
      <w:tr w:rsidR="00030D5F" w:rsidTr="00030D5F">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030D5F" w:rsidRDefault="00030D5F">
            <w:pPr>
              <w:jc w:val="center"/>
              <w:rPr>
                <w:rFonts w:ascii="Arial Narrow" w:hAnsi="Arial Narrow"/>
                <w:b/>
                <w:bCs/>
                <w:i/>
                <w:iCs/>
                <w:sz w:val="20"/>
                <w:szCs w:val="20"/>
              </w:rPr>
            </w:pPr>
            <w:r>
              <w:rPr>
                <w:rFonts w:ascii="Arial Narrow" w:hAnsi="Arial Narrow"/>
                <w:b/>
                <w:bCs/>
                <w:i/>
                <w:iCs/>
                <w:sz w:val="20"/>
                <w:szCs w:val="20"/>
              </w:rPr>
              <w:t>Road Map to 2015 Goals</w:t>
            </w:r>
          </w:p>
        </w:tc>
      </w:tr>
      <w:tr w:rsidR="00030D5F" w:rsidTr="006C0928">
        <w:trPr>
          <w:trHeight w:val="20"/>
        </w:trPr>
        <w:tc>
          <w:tcPr>
            <w:tcW w:w="354"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030D5F" w:rsidRDefault="00030D5F">
            <w:pPr>
              <w:rPr>
                <w:rFonts w:ascii="Arial Narrow" w:hAnsi="Arial Narrow"/>
                <w:b/>
                <w:bCs/>
                <w:i/>
                <w:iCs/>
                <w:sz w:val="20"/>
                <w:szCs w:val="20"/>
              </w:rPr>
            </w:pPr>
            <w:r>
              <w:rPr>
                <w:rFonts w:ascii="Arial Narrow" w:hAnsi="Arial Narrow"/>
                <w:b/>
                <w:bCs/>
                <w:i/>
                <w:iCs/>
                <w:sz w:val="20"/>
                <w:szCs w:val="20"/>
              </w:rPr>
              <w:t>Code</w:t>
            </w:r>
          </w:p>
        </w:tc>
        <w:tc>
          <w:tcPr>
            <w:tcW w:w="464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30D5F" w:rsidRDefault="00030D5F">
            <w:pPr>
              <w:rPr>
                <w:rFonts w:ascii="Arial Narrow" w:hAnsi="Arial Narrow"/>
                <w:b/>
                <w:bCs/>
                <w:i/>
                <w:iCs/>
                <w:sz w:val="20"/>
                <w:szCs w:val="20"/>
              </w:rPr>
            </w:pPr>
            <w:r>
              <w:rPr>
                <w:rFonts w:ascii="Arial Narrow" w:hAnsi="Arial Narrow"/>
                <w:b/>
                <w:bCs/>
                <w:i/>
                <w:iCs/>
                <w:sz w:val="20"/>
                <w:szCs w:val="20"/>
              </w:rPr>
              <w:t>Innovation Goals</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I-1</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Balance successful programs with new offerings</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I-2</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Professional development program that rewards innovation and collaboration</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I-3</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I-4</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Develop the financial resources to support innovation and student success</w:t>
            </w:r>
          </w:p>
        </w:tc>
      </w:tr>
      <w:tr w:rsidR="00030D5F" w:rsidTr="006C0928">
        <w:trPr>
          <w:trHeight w:val="20"/>
        </w:trPr>
        <w:tc>
          <w:tcPr>
            <w:tcW w:w="354"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030D5F" w:rsidRDefault="00030D5F">
            <w:pPr>
              <w:rPr>
                <w:rFonts w:ascii="Times New Roman" w:eastAsia="Times New Roman" w:hAnsi="Times New Roman" w:cs="Times New Roman"/>
                <w:sz w:val="20"/>
                <w:szCs w:val="20"/>
              </w:rPr>
            </w:pPr>
          </w:p>
        </w:tc>
        <w:tc>
          <w:tcPr>
            <w:tcW w:w="464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30D5F" w:rsidRDefault="00030D5F">
            <w:pPr>
              <w:rPr>
                <w:rFonts w:ascii="Arial Narrow" w:hAnsi="Arial Narrow"/>
                <w:b/>
                <w:bCs/>
                <w:i/>
                <w:iCs/>
                <w:sz w:val="20"/>
                <w:szCs w:val="20"/>
              </w:rPr>
            </w:pPr>
            <w:r>
              <w:rPr>
                <w:rFonts w:ascii="Arial Narrow" w:hAnsi="Arial Narrow"/>
                <w:b/>
                <w:bCs/>
                <w:i/>
                <w:iCs/>
                <w:sz w:val="20"/>
                <w:szCs w:val="20"/>
              </w:rPr>
              <w:t>Meaningful Lives Goals</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ML-1</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ML-2</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ML-3</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Integrate the highest possible level of information technology skills and competencies throughout the university</w:t>
            </w:r>
          </w:p>
        </w:tc>
      </w:tr>
      <w:tr w:rsidR="00030D5F" w:rsidTr="006C0928">
        <w:trPr>
          <w:trHeight w:val="20"/>
        </w:trPr>
        <w:tc>
          <w:tcPr>
            <w:tcW w:w="354"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030D5F" w:rsidRDefault="00030D5F">
            <w:pPr>
              <w:rPr>
                <w:rFonts w:ascii="Times New Roman" w:eastAsia="Times New Roman" w:hAnsi="Times New Roman" w:cs="Times New Roman"/>
                <w:sz w:val="20"/>
                <w:szCs w:val="20"/>
              </w:rPr>
            </w:pPr>
          </w:p>
        </w:tc>
        <w:tc>
          <w:tcPr>
            <w:tcW w:w="464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30D5F" w:rsidRDefault="00030D5F">
            <w:pPr>
              <w:rPr>
                <w:rFonts w:ascii="Arial Narrow" w:hAnsi="Arial Narrow"/>
                <w:b/>
                <w:bCs/>
                <w:i/>
                <w:iCs/>
                <w:sz w:val="20"/>
                <w:szCs w:val="20"/>
              </w:rPr>
            </w:pPr>
            <w:r>
              <w:rPr>
                <w:rFonts w:ascii="Arial Narrow" w:hAnsi="Arial Narrow"/>
                <w:b/>
                <w:bCs/>
                <w:i/>
                <w:iCs/>
                <w:sz w:val="20"/>
                <w:szCs w:val="20"/>
              </w:rPr>
              <w:t>Campus Attributes Goals</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CA-1</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Utilize the Campus Master Plan and related initiatives to continue to build and develop a greener and more learner-centered campus</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CA-2</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Enhance processes throughout campus operations to guide the use of resources and inform resource allocation</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CA-3</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 xml:space="preserve">Enhance the portfolio of academic programs, research and other activities that leverage the university’s location </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CA-4</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Be a model community for sustainable education and practices</w:t>
            </w:r>
          </w:p>
        </w:tc>
      </w:tr>
      <w:tr w:rsidR="00030D5F" w:rsidTr="006C0928">
        <w:trPr>
          <w:trHeight w:val="20"/>
        </w:trPr>
        <w:tc>
          <w:tcPr>
            <w:tcW w:w="354"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030D5F" w:rsidRDefault="00030D5F">
            <w:pPr>
              <w:rPr>
                <w:rFonts w:ascii="Times New Roman" w:eastAsia="Times New Roman" w:hAnsi="Times New Roman" w:cs="Times New Roman"/>
                <w:sz w:val="20"/>
                <w:szCs w:val="20"/>
              </w:rPr>
            </w:pPr>
          </w:p>
        </w:tc>
        <w:tc>
          <w:tcPr>
            <w:tcW w:w="464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30D5F" w:rsidRDefault="00030D5F">
            <w:pPr>
              <w:rPr>
                <w:rFonts w:ascii="Arial Narrow" w:hAnsi="Arial Narrow"/>
                <w:b/>
                <w:bCs/>
                <w:i/>
                <w:iCs/>
                <w:sz w:val="20"/>
                <w:szCs w:val="20"/>
              </w:rPr>
            </w:pPr>
            <w:r>
              <w:rPr>
                <w:rFonts w:ascii="Arial Narrow" w:hAnsi="Arial Narrow"/>
                <w:b/>
                <w:bCs/>
                <w:i/>
                <w:iCs/>
                <w:sz w:val="20"/>
                <w:szCs w:val="20"/>
              </w:rPr>
              <w:t>Community Engagement Goals</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CE-1</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CE-2</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CE-3</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030D5F" w:rsidTr="006C0928">
        <w:trPr>
          <w:trHeight w:val="20"/>
        </w:trPr>
        <w:tc>
          <w:tcPr>
            <w:tcW w:w="354"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0D5F" w:rsidRDefault="00030D5F">
            <w:pPr>
              <w:rPr>
                <w:rFonts w:ascii="Arial Narrow" w:hAnsi="Arial Narrow"/>
                <w:b/>
                <w:bCs/>
                <w:sz w:val="20"/>
                <w:szCs w:val="20"/>
              </w:rPr>
            </w:pPr>
            <w:r>
              <w:rPr>
                <w:rFonts w:ascii="Arial Narrow" w:hAnsi="Arial Narrow"/>
                <w:b/>
                <w:bCs/>
                <w:sz w:val="20"/>
                <w:szCs w:val="20"/>
              </w:rPr>
              <w:t>CE-4</w:t>
            </w:r>
          </w:p>
        </w:tc>
        <w:tc>
          <w:tcPr>
            <w:tcW w:w="4646" w:type="pct"/>
            <w:tcBorders>
              <w:top w:val="nil"/>
              <w:left w:val="nil"/>
              <w:bottom w:val="single" w:sz="8" w:space="0" w:color="auto"/>
              <w:right w:val="single" w:sz="8" w:space="0" w:color="auto"/>
            </w:tcBorders>
            <w:tcMar>
              <w:top w:w="0" w:type="dxa"/>
              <w:left w:w="108" w:type="dxa"/>
              <w:bottom w:w="0" w:type="dxa"/>
              <w:right w:w="108" w:type="dxa"/>
            </w:tcMar>
            <w:hideMark/>
          </w:tcPr>
          <w:p w:rsidR="00030D5F" w:rsidRDefault="00030D5F">
            <w:pPr>
              <w:rPr>
                <w:rFonts w:ascii="Arial Narrow" w:hAnsi="Arial Narrow"/>
                <w:sz w:val="20"/>
                <w:szCs w:val="20"/>
              </w:rPr>
            </w:pPr>
            <w:r>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030D5F" w:rsidRDefault="00030D5F" w:rsidP="006C0928">
      <w:pPr>
        <w:rPr>
          <w:rFonts w:ascii="Times New Roman" w:eastAsia="Times New Roman" w:hAnsi="Times New Roman" w:cs="Times New Roman"/>
          <w:sz w:val="24"/>
          <w:szCs w:val="24"/>
        </w:rPr>
      </w:pPr>
      <w:bookmarkStart w:id="0" w:name="_GoBack"/>
      <w:bookmarkEnd w:id="0"/>
    </w:p>
    <w:sectPr w:rsidR="00030D5F" w:rsidSect="00806E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9D" w:rsidRDefault="00337F9D" w:rsidP="00030D5F">
      <w:r>
        <w:separator/>
      </w:r>
    </w:p>
  </w:endnote>
  <w:endnote w:type="continuationSeparator" w:id="0">
    <w:p w:rsidR="00337F9D" w:rsidRDefault="00337F9D" w:rsidP="00030D5F">
      <w:r>
        <w:continuationSeparator/>
      </w:r>
    </w:p>
  </w:endnote>
  <w:endnote w:id="1">
    <w:p w:rsidR="0093258C" w:rsidRPr="006C0928" w:rsidRDefault="0093258C" w:rsidP="006C09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6" w:rsidRDefault="00F11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6" w:rsidRDefault="00F11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6" w:rsidRDefault="00F1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9D" w:rsidRDefault="00337F9D" w:rsidP="00030D5F">
      <w:r>
        <w:separator/>
      </w:r>
    </w:p>
  </w:footnote>
  <w:footnote w:type="continuationSeparator" w:id="0">
    <w:p w:rsidR="00337F9D" w:rsidRDefault="00337F9D" w:rsidP="0003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6" w:rsidRDefault="00F11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6" w:rsidRDefault="00F11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6" w:rsidRDefault="00F11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0A5"/>
    <w:multiLevelType w:val="hybridMultilevel"/>
    <w:tmpl w:val="F66C2C8A"/>
    <w:lvl w:ilvl="0" w:tplc="FFEED6F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04F3"/>
    <w:multiLevelType w:val="hybridMultilevel"/>
    <w:tmpl w:val="3984FA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7374C8"/>
    <w:multiLevelType w:val="multilevel"/>
    <w:tmpl w:val="0409001D"/>
    <w:styleLink w:val="Style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F542BB"/>
    <w:multiLevelType w:val="hybridMultilevel"/>
    <w:tmpl w:val="53C66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9024C"/>
    <w:multiLevelType w:val="hybridMultilevel"/>
    <w:tmpl w:val="9E105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C5B165D"/>
    <w:multiLevelType w:val="hybridMultilevel"/>
    <w:tmpl w:val="4FBEB1F2"/>
    <w:lvl w:ilvl="0" w:tplc="9A7E7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E1A03"/>
    <w:multiLevelType w:val="hybridMultilevel"/>
    <w:tmpl w:val="64C8ED3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380CDA"/>
    <w:multiLevelType w:val="hybridMultilevel"/>
    <w:tmpl w:val="6884E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DB2"/>
    <w:multiLevelType w:val="hybridMultilevel"/>
    <w:tmpl w:val="A4ACE1E6"/>
    <w:lvl w:ilvl="0" w:tplc="1B527B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11E50"/>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A80F87"/>
    <w:multiLevelType w:val="multilevel"/>
    <w:tmpl w:val="431AC696"/>
    <w:styleLink w:val="Style3"/>
    <w:lvl w:ilvl="0">
      <w:start w:val="1"/>
      <w:numFmt w:val="none"/>
      <w:suff w:val="nothing"/>
      <w:lvlText w:val="%1"/>
      <w:lvlJc w:val="left"/>
      <w:pPr>
        <w:ind w:left="0" w:firstLine="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1">
    <w:nsid w:val="471B0F56"/>
    <w:multiLevelType w:val="hybridMultilevel"/>
    <w:tmpl w:val="6FD81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436B4"/>
    <w:multiLevelType w:val="hybridMultilevel"/>
    <w:tmpl w:val="A282D4BC"/>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886779"/>
    <w:multiLevelType w:val="hybridMultilevel"/>
    <w:tmpl w:val="8844093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4DE12CB"/>
    <w:multiLevelType w:val="hybridMultilevel"/>
    <w:tmpl w:val="426A6D8C"/>
    <w:lvl w:ilvl="0" w:tplc="440251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F567F"/>
    <w:multiLevelType w:val="hybridMultilevel"/>
    <w:tmpl w:val="AF46B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93B41"/>
    <w:multiLevelType w:val="multilevel"/>
    <w:tmpl w:val="B8BC840E"/>
    <w:styleLink w:val="Style4"/>
    <w:lvl w:ilvl="0">
      <w:start w:val="1"/>
      <w:numFmt w:val="non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2"/>
  </w:num>
  <w:num w:numId="3">
    <w:abstractNumId w:val="10"/>
  </w:num>
  <w:num w:numId="4">
    <w:abstractNumId w:val="16"/>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2"/>
  </w:num>
  <w:num w:numId="12">
    <w:abstractNumId w:val="15"/>
  </w:num>
  <w:num w:numId="13">
    <w:abstractNumId w:val="0"/>
  </w:num>
  <w:num w:numId="14">
    <w:abstractNumId w:val="7"/>
  </w:num>
  <w:num w:numId="15">
    <w:abstractNumId w:val="11"/>
  </w:num>
  <w:num w:numId="16">
    <w:abstractNumId w:val="3"/>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5F"/>
    <w:rsid w:val="00010C26"/>
    <w:rsid w:val="00030D5F"/>
    <w:rsid w:val="000363A9"/>
    <w:rsid w:val="00044006"/>
    <w:rsid w:val="00070D51"/>
    <w:rsid w:val="00082869"/>
    <w:rsid w:val="00095425"/>
    <w:rsid w:val="000B0A1A"/>
    <w:rsid w:val="000B24B7"/>
    <w:rsid w:val="000B28BA"/>
    <w:rsid w:val="000D5C37"/>
    <w:rsid w:val="000F0637"/>
    <w:rsid w:val="001306EA"/>
    <w:rsid w:val="00130D00"/>
    <w:rsid w:val="00133572"/>
    <w:rsid w:val="00152CB1"/>
    <w:rsid w:val="00154591"/>
    <w:rsid w:val="001815EB"/>
    <w:rsid w:val="001955E5"/>
    <w:rsid w:val="00195D62"/>
    <w:rsid w:val="00196A82"/>
    <w:rsid w:val="001B55BC"/>
    <w:rsid w:val="001C1EB1"/>
    <w:rsid w:val="001F450F"/>
    <w:rsid w:val="001F5FE5"/>
    <w:rsid w:val="00204A58"/>
    <w:rsid w:val="002163D7"/>
    <w:rsid w:val="002352B9"/>
    <w:rsid w:val="0025086F"/>
    <w:rsid w:val="002612F1"/>
    <w:rsid w:val="00265341"/>
    <w:rsid w:val="002941E6"/>
    <w:rsid w:val="002A0416"/>
    <w:rsid w:val="002C2907"/>
    <w:rsid w:val="002F64F4"/>
    <w:rsid w:val="00304BCD"/>
    <w:rsid w:val="003225B0"/>
    <w:rsid w:val="00337F9D"/>
    <w:rsid w:val="0035564C"/>
    <w:rsid w:val="00357DD6"/>
    <w:rsid w:val="003F3A65"/>
    <w:rsid w:val="004343E5"/>
    <w:rsid w:val="0047221C"/>
    <w:rsid w:val="00492FC3"/>
    <w:rsid w:val="004D6B78"/>
    <w:rsid w:val="004E5F8E"/>
    <w:rsid w:val="004E7710"/>
    <w:rsid w:val="0054095F"/>
    <w:rsid w:val="00547572"/>
    <w:rsid w:val="0057090C"/>
    <w:rsid w:val="00574286"/>
    <w:rsid w:val="005F4262"/>
    <w:rsid w:val="00611C3D"/>
    <w:rsid w:val="00645DBC"/>
    <w:rsid w:val="00691C2C"/>
    <w:rsid w:val="006C0928"/>
    <w:rsid w:val="006E7FA3"/>
    <w:rsid w:val="00705C30"/>
    <w:rsid w:val="00734F13"/>
    <w:rsid w:val="00750362"/>
    <w:rsid w:val="007557F4"/>
    <w:rsid w:val="0075590D"/>
    <w:rsid w:val="00792B2F"/>
    <w:rsid w:val="007B59A6"/>
    <w:rsid w:val="007B7BDE"/>
    <w:rsid w:val="007F2877"/>
    <w:rsid w:val="007F59F8"/>
    <w:rsid w:val="00806E6D"/>
    <w:rsid w:val="00814FC2"/>
    <w:rsid w:val="008178CE"/>
    <w:rsid w:val="00825BE5"/>
    <w:rsid w:val="00827E25"/>
    <w:rsid w:val="00850FAF"/>
    <w:rsid w:val="00876F85"/>
    <w:rsid w:val="00890B8E"/>
    <w:rsid w:val="008963FF"/>
    <w:rsid w:val="008A540E"/>
    <w:rsid w:val="008B4236"/>
    <w:rsid w:val="008B4F83"/>
    <w:rsid w:val="008C091C"/>
    <w:rsid w:val="008C2534"/>
    <w:rsid w:val="008D07E2"/>
    <w:rsid w:val="008D4369"/>
    <w:rsid w:val="008F26D1"/>
    <w:rsid w:val="008F40E9"/>
    <w:rsid w:val="0093258C"/>
    <w:rsid w:val="009435E8"/>
    <w:rsid w:val="00956F77"/>
    <w:rsid w:val="00960E44"/>
    <w:rsid w:val="009638E4"/>
    <w:rsid w:val="00971C2E"/>
    <w:rsid w:val="009816D5"/>
    <w:rsid w:val="00985D30"/>
    <w:rsid w:val="009A33EE"/>
    <w:rsid w:val="009A4852"/>
    <w:rsid w:val="009B7119"/>
    <w:rsid w:val="009D1637"/>
    <w:rsid w:val="009D7AB0"/>
    <w:rsid w:val="00A146F0"/>
    <w:rsid w:val="00A40BBD"/>
    <w:rsid w:val="00A62BCE"/>
    <w:rsid w:val="00A64133"/>
    <w:rsid w:val="00A72E8E"/>
    <w:rsid w:val="00A73714"/>
    <w:rsid w:val="00AA703C"/>
    <w:rsid w:val="00AD4DAF"/>
    <w:rsid w:val="00AE7E55"/>
    <w:rsid w:val="00B0766F"/>
    <w:rsid w:val="00B27FDE"/>
    <w:rsid w:val="00B315DD"/>
    <w:rsid w:val="00B32ED5"/>
    <w:rsid w:val="00B41CEF"/>
    <w:rsid w:val="00B4295E"/>
    <w:rsid w:val="00B51B4E"/>
    <w:rsid w:val="00B52E35"/>
    <w:rsid w:val="00B57DB2"/>
    <w:rsid w:val="00B6651B"/>
    <w:rsid w:val="00B86E2A"/>
    <w:rsid w:val="00B9246D"/>
    <w:rsid w:val="00B931A6"/>
    <w:rsid w:val="00BB2AF4"/>
    <w:rsid w:val="00BB67ED"/>
    <w:rsid w:val="00BE3D7D"/>
    <w:rsid w:val="00C45011"/>
    <w:rsid w:val="00C516CE"/>
    <w:rsid w:val="00C91FAF"/>
    <w:rsid w:val="00CA2AB4"/>
    <w:rsid w:val="00CB707E"/>
    <w:rsid w:val="00CD7BF7"/>
    <w:rsid w:val="00D269EF"/>
    <w:rsid w:val="00D41D6B"/>
    <w:rsid w:val="00D50477"/>
    <w:rsid w:val="00D63051"/>
    <w:rsid w:val="00D66430"/>
    <w:rsid w:val="00D67D72"/>
    <w:rsid w:val="00DC15BC"/>
    <w:rsid w:val="00DC6446"/>
    <w:rsid w:val="00DD5712"/>
    <w:rsid w:val="00DE5147"/>
    <w:rsid w:val="00DE7E44"/>
    <w:rsid w:val="00DE7FC8"/>
    <w:rsid w:val="00DF400A"/>
    <w:rsid w:val="00E04520"/>
    <w:rsid w:val="00E11858"/>
    <w:rsid w:val="00E45BD6"/>
    <w:rsid w:val="00E57C67"/>
    <w:rsid w:val="00E7581B"/>
    <w:rsid w:val="00E82CD1"/>
    <w:rsid w:val="00EC1820"/>
    <w:rsid w:val="00ED35E2"/>
    <w:rsid w:val="00ED758B"/>
    <w:rsid w:val="00EF056F"/>
    <w:rsid w:val="00F116B6"/>
    <w:rsid w:val="00F2448C"/>
    <w:rsid w:val="00F40B51"/>
    <w:rsid w:val="00F52EE1"/>
    <w:rsid w:val="00FA1637"/>
    <w:rsid w:val="00FC5EB7"/>
    <w:rsid w:val="00FD78E9"/>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F"/>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6D1"/>
    <w:rPr>
      <w:sz w:val="24"/>
      <w:szCs w:val="24"/>
    </w:rPr>
  </w:style>
  <w:style w:type="numbering" w:customStyle="1" w:styleId="Style1">
    <w:name w:val="Style1"/>
    <w:uiPriority w:val="99"/>
    <w:rsid w:val="008F26D1"/>
    <w:pPr>
      <w:numPr>
        <w:numId w:val="1"/>
      </w:numPr>
    </w:pPr>
  </w:style>
  <w:style w:type="numbering" w:customStyle="1" w:styleId="Style2">
    <w:name w:val="Style2"/>
    <w:uiPriority w:val="99"/>
    <w:rsid w:val="008F26D1"/>
    <w:pPr>
      <w:numPr>
        <w:numId w:val="2"/>
      </w:numPr>
    </w:pPr>
  </w:style>
  <w:style w:type="numbering" w:customStyle="1" w:styleId="Style3">
    <w:name w:val="Style3"/>
    <w:uiPriority w:val="99"/>
    <w:rsid w:val="00A73714"/>
    <w:pPr>
      <w:numPr>
        <w:numId w:val="3"/>
      </w:numPr>
    </w:pPr>
  </w:style>
  <w:style w:type="numbering" w:customStyle="1" w:styleId="Style4">
    <w:name w:val="Style4"/>
    <w:uiPriority w:val="99"/>
    <w:rsid w:val="007B59A6"/>
    <w:pPr>
      <w:numPr>
        <w:numId w:val="4"/>
      </w:numPr>
    </w:pPr>
  </w:style>
  <w:style w:type="character" w:styleId="Hyperlink">
    <w:name w:val="Hyperlink"/>
    <w:basedOn w:val="DefaultParagraphFont"/>
    <w:uiPriority w:val="99"/>
    <w:semiHidden/>
    <w:unhideWhenUsed/>
    <w:rsid w:val="00030D5F"/>
    <w:rPr>
      <w:color w:val="0000FF"/>
      <w:u w:val="single"/>
    </w:rPr>
  </w:style>
  <w:style w:type="paragraph" w:styleId="EndnoteText">
    <w:name w:val="endnote text"/>
    <w:basedOn w:val="Normal"/>
    <w:link w:val="EndnoteTextChar"/>
    <w:uiPriority w:val="99"/>
    <w:semiHidden/>
    <w:unhideWhenUsed/>
    <w:rsid w:val="00030D5F"/>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30D5F"/>
    <w:rPr>
      <w:rFonts w:eastAsiaTheme="minorHAnsi"/>
    </w:rPr>
  </w:style>
  <w:style w:type="paragraph" w:styleId="ListParagraph">
    <w:name w:val="List Paragraph"/>
    <w:basedOn w:val="Normal"/>
    <w:uiPriority w:val="34"/>
    <w:qFormat/>
    <w:rsid w:val="00030D5F"/>
    <w:pPr>
      <w:ind w:left="720"/>
    </w:pPr>
  </w:style>
  <w:style w:type="paragraph" w:customStyle="1" w:styleId="Default">
    <w:name w:val="Default"/>
    <w:basedOn w:val="Normal"/>
    <w:rsid w:val="00030D5F"/>
    <w:pPr>
      <w:autoSpaceDE w:val="0"/>
      <w:autoSpaceDN w:val="0"/>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030D5F"/>
    <w:rPr>
      <w:vertAlign w:val="superscript"/>
    </w:rPr>
  </w:style>
  <w:style w:type="character" w:styleId="EndnoteReference">
    <w:name w:val="endnote reference"/>
    <w:basedOn w:val="DefaultParagraphFont"/>
    <w:uiPriority w:val="99"/>
    <w:semiHidden/>
    <w:unhideWhenUsed/>
    <w:rsid w:val="00030D5F"/>
    <w:rPr>
      <w:vertAlign w:val="superscript"/>
    </w:rPr>
  </w:style>
  <w:style w:type="table" w:styleId="TableGrid">
    <w:name w:val="Table Grid"/>
    <w:basedOn w:val="TableNormal"/>
    <w:uiPriority w:val="59"/>
    <w:rsid w:val="008B4F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116B6"/>
    <w:pPr>
      <w:tabs>
        <w:tab w:val="center" w:pos="4680"/>
        <w:tab w:val="right" w:pos="9360"/>
      </w:tabs>
    </w:pPr>
  </w:style>
  <w:style w:type="character" w:customStyle="1" w:styleId="HeaderChar">
    <w:name w:val="Header Char"/>
    <w:basedOn w:val="DefaultParagraphFont"/>
    <w:link w:val="Header"/>
    <w:uiPriority w:val="99"/>
    <w:rsid w:val="00F116B6"/>
    <w:rPr>
      <w:rFonts w:ascii="Calibri" w:eastAsiaTheme="minorHAnsi" w:hAnsi="Calibri" w:cs="Calibri"/>
      <w:sz w:val="22"/>
      <w:szCs w:val="22"/>
    </w:rPr>
  </w:style>
  <w:style w:type="paragraph" w:styleId="Footer">
    <w:name w:val="footer"/>
    <w:basedOn w:val="Normal"/>
    <w:link w:val="FooterChar"/>
    <w:uiPriority w:val="99"/>
    <w:unhideWhenUsed/>
    <w:rsid w:val="00F116B6"/>
    <w:pPr>
      <w:tabs>
        <w:tab w:val="center" w:pos="4680"/>
        <w:tab w:val="right" w:pos="9360"/>
      </w:tabs>
    </w:pPr>
  </w:style>
  <w:style w:type="character" w:customStyle="1" w:styleId="FooterChar">
    <w:name w:val="Footer Char"/>
    <w:basedOn w:val="DefaultParagraphFont"/>
    <w:link w:val="Footer"/>
    <w:uiPriority w:val="99"/>
    <w:rsid w:val="00F116B6"/>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F"/>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6D1"/>
    <w:rPr>
      <w:sz w:val="24"/>
      <w:szCs w:val="24"/>
    </w:rPr>
  </w:style>
  <w:style w:type="numbering" w:customStyle="1" w:styleId="Style1">
    <w:name w:val="Style1"/>
    <w:uiPriority w:val="99"/>
    <w:rsid w:val="008F26D1"/>
    <w:pPr>
      <w:numPr>
        <w:numId w:val="1"/>
      </w:numPr>
    </w:pPr>
  </w:style>
  <w:style w:type="numbering" w:customStyle="1" w:styleId="Style2">
    <w:name w:val="Style2"/>
    <w:uiPriority w:val="99"/>
    <w:rsid w:val="008F26D1"/>
    <w:pPr>
      <w:numPr>
        <w:numId w:val="2"/>
      </w:numPr>
    </w:pPr>
  </w:style>
  <w:style w:type="numbering" w:customStyle="1" w:styleId="Style3">
    <w:name w:val="Style3"/>
    <w:uiPriority w:val="99"/>
    <w:rsid w:val="00A73714"/>
    <w:pPr>
      <w:numPr>
        <w:numId w:val="3"/>
      </w:numPr>
    </w:pPr>
  </w:style>
  <w:style w:type="numbering" w:customStyle="1" w:styleId="Style4">
    <w:name w:val="Style4"/>
    <w:uiPriority w:val="99"/>
    <w:rsid w:val="007B59A6"/>
    <w:pPr>
      <w:numPr>
        <w:numId w:val="4"/>
      </w:numPr>
    </w:pPr>
  </w:style>
  <w:style w:type="character" w:styleId="Hyperlink">
    <w:name w:val="Hyperlink"/>
    <w:basedOn w:val="DefaultParagraphFont"/>
    <w:uiPriority w:val="99"/>
    <w:semiHidden/>
    <w:unhideWhenUsed/>
    <w:rsid w:val="00030D5F"/>
    <w:rPr>
      <w:color w:val="0000FF"/>
      <w:u w:val="single"/>
    </w:rPr>
  </w:style>
  <w:style w:type="paragraph" w:styleId="EndnoteText">
    <w:name w:val="endnote text"/>
    <w:basedOn w:val="Normal"/>
    <w:link w:val="EndnoteTextChar"/>
    <w:uiPriority w:val="99"/>
    <w:semiHidden/>
    <w:unhideWhenUsed/>
    <w:rsid w:val="00030D5F"/>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30D5F"/>
    <w:rPr>
      <w:rFonts w:eastAsiaTheme="minorHAnsi"/>
    </w:rPr>
  </w:style>
  <w:style w:type="paragraph" w:styleId="ListParagraph">
    <w:name w:val="List Paragraph"/>
    <w:basedOn w:val="Normal"/>
    <w:uiPriority w:val="34"/>
    <w:qFormat/>
    <w:rsid w:val="00030D5F"/>
    <w:pPr>
      <w:ind w:left="720"/>
    </w:pPr>
  </w:style>
  <w:style w:type="paragraph" w:customStyle="1" w:styleId="Default">
    <w:name w:val="Default"/>
    <w:basedOn w:val="Normal"/>
    <w:rsid w:val="00030D5F"/>
    <w:pPr>
      <w:autoSpaceDE w:val="0"/>
      <w:autoSpaceDN w:val="0"/>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030D5F"/>
    <w:rPr>
      <w:vertAlign w:val="superscript"/>
    </w:rPr>
  </w:style>
  <w:style w:type="character" w:styleId="EndnoteReference">
    <w:name w:val="endnote reference"/>
    <w:basedOn w:val="DefaultParagraphFont"/>
    <w:uiPriority w:val="99"/>
    <w:semiHidden/>
    <w:unhideWhenUsed/>
    <w:rsid w:val="00030D5F"/>
    <w:rPr>
      <w:vertAlign w:val="superscript"/>
    </w:rPr>
  </w:style>
  <w:style w:type="table" w:styleId="TableGrid">
    <w:name w:val="Table Grid"/>
    <w:basedOn w:val="TableNormal"/>
    <w:uiPriority w:val="59"/>
    <w:rsid w:val="008B4F8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116B6"/>
    <w:pPr>
      <w:tabs>
        <w:tab w:val="center" w:pos="4680"/>
        <w:tab w:val="right" w:pos="9360"/>
      </w:tabs>
    </w:pPr>
  </w:style>
  <w:style w:type="character" w:customStyle="1" w:styleId="HeaderChar">
    <w:name w:val="Header Char"/>
    <w:basedOn w:val="DefaultParagraphFont"/>
    <w:link w:val="Header"/>
    <w:uiPriority w:val="99"/>
    <w:rsid w:val="00F116B6"/>
    <w:rPr>
      <w:rFonts w:ascii="Calibri" w:eastAsiaTheme="minorHAnsi" w:hAnsi="Calibri" w:cs="Calibri"/>
      <w:sz w:val="22"/>
      <w:szCs w:val="22"/>
    </w:rPr>
  </w:style>
  <w:style w:type="paragraph" w:styleId="Footer">
    <w:name w:val="footer"/>
    <w:basedOn w:val="Normal"/>
    <w:link w:val="FooterChar"/>
    <w:uiPriority w:val="99"/>
    <w:unhideWhenUsed/>
    <w:rsid w:val="00F116B6"/>
    <w:pPr>
      <w:tabs>
        <w:tab w:val="center" w:pos="4680"/>
        <w:tab w:val="right" w:pos="9360"/>
      </w:tabs>
    </w:pPr>
  </w:style>
  <w:style w:type="character" w:customStyle="1" w:styleId="FooterChar">
    <w:name w:val="Footer Char"/>
    <w:basedOn w:val="DefaultParagraphFont"/>
    <w:link w:val="Footer"/>
    <w:uiPriority w:val="99"/>
    <w:rsid w:val="00F116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1437">
      <w:bodyDiv w:val="1"/>
      <w:marLeft w:val="0"/>
      <w:marRight w:val="0"/>
      <w:marTop w:val="0"/>
      <w:marBottom w:val="0"/>
      <w:divBdr>
        <w:top w:val="none" w:sz="0" w:space="0" w:color="auto"/>
        <w:left w:val="none" w:sz="0" w:space="0" w:color="auto"/>
        <w:bottom w:val="none" w:sz="0" w:space="0" w:color="auto"/>
        <w:right w:val="none" w:sz="0" w:space="0" w:color="auto"/>
      </w:divBdr>
    </w:div>
    <w:div w:id="1313293383">
      <w:bodyDiv w:val="1"/>
      <w:marLeft w:val="0"/>
      <w:marRight w:val="0"/>
      <w:marTop w:val="0"/>
      <w:marBottom w:val="0"/>
      <w:divBdr>
        <w:top w:val="none" w:sz="0" w:space="0" w:color="auto"/>
        <w:left w:val="none" w:sz="0" w:space="0" w:color="auto"/>
        <w:bottom w:val="none" w:sz="0" w:space="0" w:color="auto"/>
        <w:right w:val="none" w:sz="0" w:space="0" w:color="auto"/>
      </w:divBdr>
    </w:div>
    <w:div w:id="21026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mu.edu/roadmap20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Sandra Poindexter</cp:lastModifiedBy>
  <cp:revision>3</cp:revision>
  <cp:lastPrinted>2012-07-30T17:30:00Z</cp:lastPrinted>
  <dcterms:created xsi:type="dcterms:W3CDTF">2012-08-19T17:27:00Z</dcterms:created>
  <dcterms:modified xsi:type="dcterms:W3CDTF">2012-08-19T17:38:00Z</dcterms:modified>
</cp:coreProperties>
</file>