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Northern Michigan University</w:t>
      </w:r>
      <w:bookmarkStart w:id="0" w:name="_GoBack"/>
      <w:bookmarkEnd w:id="0"/>
    </w:p>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 xml:space="preserve">OUTCOMES ASSESSMENT PLAN/REPORT </w:t>
      </w:r>
      <w:r w:rsidR="002F485C">
        <w:rPr>
          <w:rFonts w:ascii="Arial Narrow" w:hAnsi="Arial Narrow" w:cs="Arial"/>
          <w:b/>
          <w:szCs w:val="28"/>
        </w:rPr>
        <w:t>FORM</w:t>
      </w:r>
    </w:p>
    <w:p w:rsidR="00B60EE2" w:rsidRPr="00E47E9A" w:rsidRDefault="00E346BB" w:rsidP="00E346BB">
      <w:pPr>
        <w:tabs>
          <w:tab w:val="left" w:pos="1665"/>
          <w:tab w:val="center" w:pos="5400"/>
        </w:tabs>
        <w:outlineLvl w:val="0"/>
        <w:rPr>
          <w:rFonts w:ascii="Arial Narrow" w:hAnsi="Arial Narrow" w:cs="Arial"/>
          <w:b/>
          <w:szCs w:val="28"/>
        </w:rPr>
      </w:pPr>
      <w:r>
        <w:rPr>
          <w:rFonts w:ascii="Arial Narrow" w:hAnsi="Arial Narrow" w:cs="Arial"/>
          <w:b/>
          <w:szCs w:val="28"/>
        </w:rPr>
        <w:tab/>
      </w:r>
      <w:r>
        <w:rPr>
          <w:rFonts w:ascii="Arial Narrow" w:hAnsi="Arial Narrow" w:cs="Arial"/>
          <w:b/>
          <w:szCs w:val="28"/>
        </w:rPr>
        <w:tab/>
      </w:r>
      <w:r w:rsidR="00B60EE2" w:rsidRPr="00E47E9A">
        <w:rPr>
          <w:rFonts w:ascii="Arial Narrow" w:hAnsi="Arial Narrow" w:cs="Arial"/>
          <w:b/>
          <w:szCs w:val="28"/>
        </w:rPr>
        <w:t>Administrative or Educational Support Unit</w:t>
      </w:r>
    </w:p>
    <w:p w:rsidR="00B60EE2" w:rsidRPr="00E47E9A" w:rsidRDefault="00B60EE2" w:rsidP="00B60EE2">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40"/>
        <w:gridCol w:w="720"/>
        <w:gridCol w:w="4230"/>
        <w:gridCol w:w="1620"/>
        <w:gridCol w:w="1818"/>
      </w:tblGrid>
      <w:tr w:rsidR="00B60EE2" w:rsidRPr="00590761" w:rsidTr="00A51F47">
        <w:tc>
          <w:tcPr>
            <w:tcW w:w="2628" w:type="dxa"/>
            <w:gridSpan w:val="2"/>
            <w:tcBorders>
              <w:top w:val="nil"/>
              <w:left w:val="nil"/>
              <w:bottom w:val="nil"/>
              <w:right w:val="single" w:sz="4" w:space="0" w:color="auto"/>
            </w:tcBorders>
            <w:vAlign w:val="center"/>
          </w:tcPr>
          <w:p w:rsidR="00B60EE2" w:rsidRPr="00590761" w:rsidRDefault="00B60EE2" w:rsidP="00254735">
            <w:pPr>
              <w:rPr>
                <w:rFonts w:ascii="Arial Narrow" w:hAnsi="Arial Narrow" w:cs="Arial"/>
              </w:rPr>
            </w:pPr>
            <w:r w:rsidRPr="00590761">
              <w:rPr>
                <w:rFonts w:ascii="Arial Narrow" w:hAnsi="Arial Narrow" w:cs="Arial"/>
                <w:sz w:val="22"/>
                <w:szCs w:val="22"/>
              </w:rPr>
              <w:t>Name of Department or Unit</w:t>
            </w:r>
          </w:p>
        </w:tc>
        <w:tc>
          <w:tcPr>
            <w:tcW w:w="83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590761" w:rsidRDefault="00CD0F76" w:rsidP="00254735">
            <w:pPr>
              <w:rPr>
                <w:rFonts w:ascii="Arial Narrow" w:hAnsi="Arial Narrow"/>
              </w:rPr>
            </w:pPr>
            <w:r>
              <w:rPr>
                <w:rFonts w:ascii="Arial Narrow" w:hAnsi="Arial Narrow"/>
              </w:rPr>
              <w:t>Risk and Insurance Department</w:t>
            </w:r>
          </w:p>
        </w:tc>
      </w:tr>
      <w:tr w:rsidR="00B60EE2" w:rsidRPr="00590761" w:rsidTr="00A24592">
        <w:tc>
          <w:tcPr>
            <w:tcW w:w="2088" w:type="dxa"/>
            <w:tcBorders>
              <w:top w:val="nil"/>
              <w:left w:val="nil"/>
              <w:bottom w:val="nil"/>
              <w:right w:val="single" w:sz="4" w:space="0" w:color="auto"/>
            </w:tcBorders>
            <w:shd w:val="clear" w:color="auto" w:fill="FFFFFF"/>
            <w:vAlign w:val="center"/>
          </w:tcPr>
          <w:p w:rsidR="00B60EE2" w:rsidRPr="00590761" w:rsidRDefault="00B60EE2" w:rsidP="00254735">
            <w:pPr>
              <w:rPr>
                <w:rFonts w:ascii="Arial Narrow" w:hAnsi="Arial Narrow" w:cs="Arial"/>
              </w:rPr>
            </w:pPr>
            <w:r w:rsidRPr="00590761">
              <w:rPr>
                <w:rFonts w:ascii="Arial Narrow" w:hAnsi="Arial Narrow" w:cs="Arial"/>
                <w:sz w:val="22"/>
                <w:szCs w:val="22"/>
              </w:rPr>
              <w:t>This document is the</w:t>
            </w:r>
          </w:p>
        </w:tc>
        <w:tc>
          <w:tcPr>
            <w:tcW w:w="54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590761" w:rsidRDefault="0084143E" w:rsidP="0084143E">
            <w:pPr>
              <w:rPr>
                <w:rFonts w:ascii="Arial Narrow" w:hAnsi="Arial Narrow" w:cs="Arial"/>
              </w:rPr>
            </w:pPr>
            <w:r>
              <w:rPr>
                <w:rFonts w:ascii="Arial Narrow" w:hAnsi="Arial Narrow" w:cs="Arial"/>
                <w:sz w:val="22"/>
                <w:szCs w:val="22"/>
              </w:rPr>
              <w:t>PLAN</w:t>
            </w:r>
            <w:r w:rsidR="00B60EE2" w:rsidRPr="00590761">
              <w:rPr>
                <w:rFonts w:ascii="Arial Narrow" w:hAnsi="Arial Narrow" w:cs="Arial"/>
                <w:sz w:val="22"/>
                <w:szCs w:val="22"/>
              </w:rPr>
              <w:t xml:space="preserve"> for July 1, 20</w:t>
            </w:r>
            <w:r w:rsidR="00FD03FE" w:rsidRPr="00590761">
              <w:rPr>
                <w:rFonts w:ascii="Arial Narrow" w:hAnsi="Arial Narrow" w:cs="Arial"/>
                <w:sz w:val="22"/>
                <w:szCs w:val="22"/>
              </w:rPr>
              <w:t>1</w:t>
            </w:r>
            <w:r>
              <w:rPr>
                <w:rFonts w:ascii="Arial Narrow" w:hAnsi="Arial Narrow" w:cs="Arial"/>
                <w:sz w:val="22"/>
                <w:szCs w:val="22"/>
              </w:rPr>
              <w:t>2</w:t>
            </w:r>
            <w:r w:rsidR="00B60EE2" w:rsidRPr="00590761">
              <w:rPr>
                <w:rFonts w:ascii="Arial Narrow" w:hAnsi="Arial Narrow" w:cs="Arial"/>
                <w:sz w:val="22"/>
                <w:szCs w:val="22"/>
              </w:rPr>
              <w:t xml:space="preserve"> to June 30, 20</w:t>
            </w:r>
            <w:r w:rsidR="00FD03FE" w:rsidRPr="00590761">
              <w:rPr>
                <w:rFonts w:ascii="Arial Narrow" w:hAnsi="Arial Narrow" w:cs="Arial"/>
                <w:sz w:val="22"/>
                <w:szCs w:val="22"/>
              </w:rPr>
              <w:t>1</w:t>
            </w:r>
            <w:r>
              <w:rPr>
                <w:rFonts w:ascii="Arial Narrow" w:hAnsi="Arial Narrow" w:cs="Arial"/>
                <w:sz w:val="22"/>
                <w:szCs w:val="22"/>
              </w:rPr>
              <w:t>3</w:t>
            </w:r>
          </w:p>
        </w:tc>
        <w:tc>
          <w:tcPr>
            <w:tcW w:w="1620" w:type="dxa"/>
            <w:tcBorders>
              <w:top w:val="nil"/>
              <w:left w:val="single" w:sz="4" w:space="0" w:color="auto"/>
              <w:bottom w:val="nil"/>
              <w:right w:val="single" w:sz="4" w:space="0" w:color="auto"/>
            </w:tcBorders>
            <w:shd w:val="clear" w:color="auto" w:fill="FFFFFF"/>
            <w:vAlign w:val="center"/>
          </w:tcPr>
          <w:p w:rsidR="00B60EE2" w:rsidRPr="00590761" w:rsidRDefault="00B60EE2" w:rsidP="00A51F47">
            <w:pPr>
              <w:rPr>
                <w:rFonts w:ascii="Arial Narrow" w:hAnsi="Arial Narrow" w:cs="Arial"/>
              </w:rPr>
            </w:pPr>
            <w:r w:rsidRPr="00590761">
              <w:rPr>
                <w:rFonts w:ascii="Arial Narrow" w:hAnsi="Arial Narrow" w:cs="Arial"/>
                <w:sz w:val="22"/>
                <w:szCs w:val="22"/>
                <w:shd w:val="clear" w:color="auto" w:fill="FFFFFF" w:themeFill="background1"/>
              </w:rPr>
              <w:t>Date Submitted</w:t>
            </w:r>
            <w:r w:rsidR="00A51F47" w:rsidRPr="00590761">
              <w:rPr>
                <w:rFonts w:ascii="Arial Narrow" w:hAnsi="Arial Narrow" w:cs="Arial"/>
                <w:sz w:val="22"/>
                <w:szCs w:val="22"/>
              </w:rPr>
              <w:t>:</w:t>
            </w:r>
          </w:p>
        </w:tc>
        <w:tc>
          <w:tcPr>
            <w:tcW w:w="18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B60EE2" w:rsidRPr="00590761" w:rsidRDefault="00E36934" w:rsidP="00E36934">
            <w:pPr>
              <w:rPr>
                <w:rFonts w:ascii="Arial Narrow" w:hAnsi="Arial Narrow" w:cs="Arial"/>
              </w:rPr>
            </w:pPr>
            <w:r>
              <w:rPr>
                <w:rFonts w:ascii="Arial Narrow" w:hAnsi="Arial Narrow" w:cs="Arial"/>
              </w:rPr>
              <w:t>10</w:t>
            </w:r>
            <w:r w:rsidR="00CD0F76">
              <w:rPr>
                <w:rFonts w:ascii="Arial Narrow" w:hAnsi="Arial Narrow" w:cs="Arial"/>
              </w:rPr>
              <w:t>/</w:t>
            </w:r>
            <w:r>
              <w:rPr>
                <w:rFonts w:ascii="Arial Narrow" w:hAnsi="Arial Narrow" w:cs="Arial"/>
              </w:rPr>
              <w:t>1</w:t>
            </w:r>
            <w:r w:rsidR="00CD0F76">
              <w:rPr>
                <w:rFonts w:ascii="Arial Narrow" w:hAnsi="Arial Narrow" w:cs="Arial"/>
              </w:rPr>
              <w:t>/1</w:t>
            </w:r>
            <w:r w:rsidR="00547CA8">
              <w:rPr>
                <w:rFonts w:ascii="Arial Narrow" w:hAnsi="Arial Narrow" w:cs="Arial"/>
              </w:rPr>
              <w:t>2</w:t>
            </w:r>
          </w:p>
        </w:tc>
      </w:tr>
      <w:tr w:rsidR="00B60EE2" w:rsidRPr="00590761" w:rsidTr="00A51F47">
        <w:tc>
          <w:tcPr>
            <w:tcW w:w="3348" w:type="dxa"/>
            <w:gridSpan w:val="3"/>
            <w:tcBorders>
              <w:top w:val="nil"/>
              <w:left w:val="nil"/>
              <w:bottom w:val="nil"/>
              <w:right w:val="single" w:sz="4" w:space="0" w:color="auto"/>
            </w:tcBorders>
            <w:vAlign w:val="center"/>
          </w:tcPr>
          <w:p w:rsidR="00B60EE2" w:rsidRPr="00590761" w:rsidRDefault="00B60EE2" w:rsidP="00254735">
            <w:pPr>
              <w:rPr>
                <w:rFonts w:ascii="Arial Narrow" w:hAnsi="Arial Narrow" w:cs="Arial"/>
              </w:rPr>
            </w:pPr>
            <w:r w:rsidRPr="00590761">
              <w:rPr>
                <w:rFonts w:ascii="Arial Narrow" w:hAnsi="Arial Narrow" w:cs="Arial"/>
                <w:sz w:val="22"/>
                <w:szCs w:val="22"/>
              </w:rPr>
              <w:t>Submitted by (Unit Representative)</w:t>
            </w:r>
          </w:p>
        </w:tc>
        <w:tc>
          <w:tcPr>
            <w:tcW w:w="76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590761" w:rsidRDefault="00547CA8" w:rsidP="00547CA8">
            <w:pPr>
              <w:rPr>
                <w:rFonts w:ascii="Arial Narrow" w:hAnsi="Arial Narrow"/>
              </w:rPr>
            </w:pPr>
            <w:r>
              <w:rPr>
                <w:rFonts w:ascii="Arial Narrow" w:hAnsi="Arial Narrow"/>
              </w:rPr>
              <w:t>James W. Bradley</w:t>
            </w:r>
          </w:p>
        </w:tc>
      </w:tr>
    </w:tbl>
    <w:p w:rsidR="00A51F47" w:rsidRPr="009860CD" w:rsidRDefault="00A51F47">
      <w:pPr>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8"/>
      </w:tblGrid>
      <w:tr w:rsidR="00254735" w:rsidRPr="00E47E9A" w:rsidTr="00A51F47">
        <w:tc>
          <w:tcPr>
            <w:tcW w:w="10998" w:type="dxa"/>
            <w:tcBorders>
              <w:top w:val="nil"/>
              <w:left w:val="nil"/>
              <w:bottom w:val="single" w:sz="4" w:space="0" w:color="auto"/>
              <w:right w:val="nil"/>
            </w:tcBorders>
            <w:vAlign w:val="center"/>
          </w:tcPr>
          <w:p w:rsidR="00254735" w:rsidRPr="00E47E9A" w:rsidRDefault="00254735" w:rsidP="00CD0F76">
            <w:pPr>
              <w:rPr>
                <w:rFonts w:ascii="Arial Narrow" w:hAnsi="Arial Narrow" w:cs="Arial"/>
                <w:b/>
              </w:rPr>
            </w:pPr>
            <w:r w:rsidRPr="00E47E9A">
              <w:rPr>
                <w:rFonts w:ascii="Arial Narrow" w:hAnsi="Arial Narrow" w:cs="Arial"/>
                <w:b/>
                <w:sz w:val="22"/>
                <w:szCs w:val="22"/>
              </w:rPr>
              <w:t>Department or Unit Mission Statement</w:t>
            </w:r>
            <w:r w:rsidR="00952C39">
              <w:rPr>
                <w:rFonts w:ascii="Arial Narrow" w:hAnsi="Arial Narrow" w:cs="Arial"/>
                <w:b/>
                <w:sz w:val="22"/>
                <w:szCs w:val="22"/>
              </w:rPr>
              <w:t>:</w:t>
            </w:r>
            <w:r w:rsidR="007D2C63">
              <w:rPr>
                <w:rFonts w:ascii="Arial Narrow" w:hAnsi="Arial Narrow" w:cs="Arial"/>
                <w:b/>
                <w:sz w:val="22"/>
                <w:szCs w:val="22"/>
              </w:rPr>
              <w:t xml:space="preserve"> </w:t>
            </w:r>
            <w:r w:rsidR="0036346B">
              <w:rPr>
                <w:rFonts w:ascii="Arial Narrow" w:hAnsi="Arial Narrow" w:cs="Arial"/>
                <w:b/>
                <w:sz w:val="22"/>
                <w:szCs w:val="22"/>
              </w:rPr>
              <w:tab/>
            </w:r>
            <w:r w:rsidR="0036346B">
              <w:rPr>
                <w:rFonts w:ascii="Arial Narrow" w:hAnsi="Arial Narrow" w:cs="Arial"/>
                <w:b/>
                <w:sz w:val="22"/>
                <w:szCs w:val="22"/>
              </w:rPr>
              <w:tab/>
            </w:r>
            <w:r w:rsidR="0036346B">
              <w:rPr>
                <w:rFonts w:ascii="Arial Narrow" w:hAnsi="Arial Narrow" w:cs="Arial"/>
                <w:b/>
                <w:sz w:val="22"/>
                <w:szCs w:val="22"/>
              </w:rPr>
              <w:tab/>
            </w:r>
            <w:r w:rsidR="007D2C63">
              <w:rPr>
                <w:rFonts w:ascii="Arial Narrow" w:hAnsi="Arial Narrow" w:cs="Arial"/>
                <w:b/>
                <w:sz w:val="22"/>
                <w:szCs w:val="22"/>
              </w:rPr>
              <w:t xml:space="preserve">Was this mission statement revised this year? </w:t>
            </w:r>
            <w:r w:rsidR="007D2C63">
              <w:rPr>
                <w:rFonts w:ascii="Arial Narrow" w:hAnsi="Arial Narrow" w:cs="Arial"/>
                <w:b/>
                <w:sz w:val="22"/>
                <w:szCs w:val="22"/>
                <w:u w:val="single"/>
              </w:rPr>
              <w:t xml:space="preserve">    </w:t>
            </w:r>
            <w:r w:rsidR="007D2C63" w:rsidRPr="002333A4">
              <w:rPr>
                <w:rFonts w:ascii="Arial Narrow" w:hAnsi="Arial Narrow" w:cs="Arial"/>
                <w:b/>
                <w:sz w:val="22"/>
                <w:szCs w:val="22"/>
              </w:rPr>
              <w:t>Yes</w:t>
            </w:r>
            <w:r w:rsidR="007D2C63">
              <w:rPr>
                <w:rFonts w:ascii="Arial Narrow" w:hAnsi="Arial Narrow" w:cs="Arial"/>
                <w:b/>
                <w:sz w:val="22"/>
                <w:szCs w:val="22"/>
              </w:rPr>
              <w:t xml:space="preserve">  </w:t>
            </w:r>
            <w:r w:rsidR="00CD0F76">
              <w:rPr>
                <w:rFonts w:ascii="Arial Narrow" w:hAnsi="Arial Narrow" w:cs="Arial"/>
                <w:b/>
                <w:sz w:val="22"/>
                <w:szCs w:val="22"/>
              </w:rPr>
              <w:t xml:space="preserve">X </w:t>
            </w:r>
            <w:r w:rsidR="007D2C63">
              <w:rPr>
                <w:rFonts w:ascii="Arial Narrow" w:hAnsi="Arial Narrow" w:cs="Arial"/>
                <w:b/>
                <w:sz w:val="22"/>
                <w:szCs w:val="22"/>
              </w:rPr>
              <w:t xml:space="preserve"> No</w:t>
            </w:r>
          </w:p>
        </w:tc>
      </w:tr>
      <w:tr w:rsidR="00A51F47" w:rsidRPr="00E47E9A" w:rsidTr="00C60394">
        <w:trPr>
          <w:trHeight w:val="432"/>
        </w:trPr>
        <w:tc>
          <w:tcPr>
            <w:tcW w:w="10998" w:type="dxa"/>
            <w:tcBorders>
              <w:top w:val="single" w:sz="4" w:space="0" w:color="auto"/>
              <w:left w:val="single" w:sz="4" w:space="0" w:color="auto"/>
              <w:bottom w:val="single" w:sz="4" w:space="0" w:color="auto"/>
            </w:tcBorders>
            <w:shd w:val="clear" w:color="auto" w:fill="F2F2F2" w:themeFill="background1" w:themeFillShade="F2"/>
          </w:tcPr>
          <w:p w:rsidR="00CD0F76" w:rsidRPr="00EC3F7E" w:rsidRDefault="00CD0F76" w:rsidP="00CD0F76">
            <w:pPr>
              <w:pStyle w:val="PlainText"/>
              <w:rPr>
                <w:rFonts w:ascii="Arial Narrow" w:hAnsi="Arial Narrow" w:cs="Arial"/>
                <w:sz w:val="22"/>
                <w:szCs w:val="22"/>
              </w:rPr>
            </w:pPr>
          </w:p>
          <w:p w:rsidR="00CD0F76" w:rsidRPr="00EC3F7E" w:rsidRDefault="00CD0F76" w:rsidP="00CD0F76">
            <w:pPr>
              <w:pStyle w:val="PlainText"/>
              <w:rPr>
                <w:rFonts w:ascii="Arial Narrow" w:hAnsi="Arial Narrow"/>
                <w:sz w:val="22"/>
                <w:szCs w:val="22"/>
              </w:rPr>
            </w:pPr>
            <w:r w:rsidRPr="00EC3F7E">
              <w:rPr>
                <w:rFonts w:ascii="Arial Narrow" w:hAnsi="Arial Narrow" w:cs="Arial"/>
                <w:sz w:val="22"/>
                <w:szCs w:val="22"/>
              </w:rPr>
              <w:t xml:space="preserve">The mission of the Risk and Insurance Management Department </w:t>
            </w:r>
            <w:r w:rsidRPr="00EC3F7E">
              <w:rPr>
                <w:rFonts w:ascii="Arial Narrow" w:hAnsi="Arial Narrow"/>
                <w:sz w:val="22"/>
                <w:szCs w:val="22"/>
              </w:rPr>
              <w:t>is to manage the University’s risk of financial loss from property and liability exposures through a continuous process of identifying and analyzing exposures to loss, selecting a combination of risk management techniques to handle each exposure, monitoring and making appropriate changes as needed.</w:t>
            </w:r>
          </w:p>
          <w:p w:rsidR="007C53D1" w:rsidRPr="00EC3F7E" w:rsidRDefault="007C53D1" w:rsidP="00E47E9A">
            <w:pPr>
              <w:rPr>
                <w:rFonts w:ascii="Arial Narrow" w:hAnsi="Arial Narrow" w:cs="Arial"/>
              </w:rPr>
            </w:pPr>
          </w:p>
        </w:tc>
      </w:tr>
    </w:tbl>
    <w:p w:rsidR="00A51F47" w:rsidRPr="009860CD" w:rsidRDefault="00A51F47">
      <w:pPr>
        <w:rPr>
          <w:rFonts w:ascii="Arial Narrow" w:hAnsi="Arial Narrow"/>
          <w:sz w:val="22"/>
        </w:rPr>
      </w:pPr>
    </w:p>
    <w:p w:rsidR="003135F6" w:rsidRPr="0036346B" w:rsidRDefault="003135F6" w:rsidP="009860CD">
      <w:pPr>
        <w:outlineLvl w:val="0"/>
        <w:rPr>
          <w:rFonts w:ascii="Arial Narrow" w:hAnsi="Arial Narrow"/>
          <w:b/>
          <w:sz w:val="22"/>
        </w:rPr>
      </w:pPr>
      <w:r w:rsidRPr="0036346B">
        <w:rPr>
          <w:rFonts w:ascii="Arial Narrow" w:hAnsi="Arial Narrow"/>
          <w:b/>
          <w:sz w:val="22"/>
        </w:rPr>
        <w:t>Functions within the University:</w:t>
      </w:r>
      <w:r w:rsidR="007D2C63" w:rsidRPr="0036346B">
        <w:rPr>
          <w:rFonts w:ascii="Arial Narrow" w:hAnsi="Arial Narrow"/>
          <w:b/>
          <w:sz w:val="22"/>
        </w:rPr>
        <w:t xml:space="preserve"> </w:t>
      </w:r>
    </w:p>
    <w:tbl>
      <w:tblPr>
        <w:tblStyle w:val="TableGrid"/>
        <w:tblW w:w="0" w:type="auto"/>
        <w:tblLook w:val="04A0" w:firstRow="1" w:lastRow="0" w:firstColumn="1" w:lastColumn="0" w:noHBand="0" w:noVBand="1"/>
      </w:tblPr>
      <w:tblGrid>
        <w:gridCol w:w="11016"/>
      </w:tblGrid>
      <w:tr w:rsidR="003135F6" w:rsidRPr="00F80222" w:rsidTr="003135F6">
        <w:tc>
          <w:tcPr>
            <w:tcW w:w="11016" w:type="dxa"/>
          </w:tcPr>
          <w:p w:rsidR="003135F6" w:rsidRPr="000B004B" w:rsidRDefault="00DC77ED" w:rsidP="000A1CAE">
            <w:pPr>
              <w:rPr>
                <w:rFonts w:ascii="Arial Narrow" w:hAnsi="Arial Narrow"/>
                <w:sz w:val="20"/>
                <w:szCs w:val="20"/>
              </w:rPr>
            </w:pPr>
            <w:r w:rsidRPr="000B004B">
              <w:rPr>
                <w:rFonts w:ascii="Arial Narrow" w:hAnsi="Arial Narrow"/>
                <w:sz w:val="20"/>
                <w:szCs w:val="20"/>
              </w:rPr>
              <w:t>In addition to being part of NMU’s</w:t>
            </w:r>
            <w:r w:rsidR="003135F6" w:rsidRPr="000B004B">
              <w:rPr>
                <w:rFonts w:ascii="Arial Narrow" w:hAnsi="Arial Narrow"/>
                <w:sz w:val="20"/>
                <w:szCs w:val="20"/>
              </w:rPr>
              <w:t xml:space="preserve"> continuous improvement process, outcomes assessment play</w:t>
            </w:r>
            <w:r w:rsidRPr="000B004B">
              <w:rPr>
                <w:rFonts w:ascii="Arial Narrow" w:hAnsi="Arial Narrow"/>
                <w:sz w:val="20"/>
                <w:szCs w:val="20"/>
              </w:rPr>
              <w:t>s</w:t>
            </w:r>
            <w:r w:rsidR="003135F6" w:rsidRPr="000B004B">
              <w:rPr>
                <w:rFonts w:ascii="Arial Narrow" w:hAnsi="Arial Narrow"/>
                <w:sz w:val="20"/>
                <w:szCs w:val="20"/>
              </w:rPr>
              <w:t xml:space="preserve"> </w:t>
            </w:r>
            <w:r w:rsidRPr="000B004B">
              <w:rPr>
                <w:rFonts w:ascii="Arial Narrow" w:hAnsi="Arial Narrow"/>
                <w:sz w:val="20"/>
                <w:szCs w:val="20"/>
              </w:rPr>
              <w:t>a direct role with the</w:t>
            </w:r>
            <w:r w:rsidR="003135F6" w:rsidRPr="000B004B">
              <w:rPr>
                <w:rFonts w:ascii="Arial Narrow" w:hAnsi="Arial Narrow"/>
                <w:sz w:val="20"/>
                <w:szCs w:val="20"/>
              </w:rPr>
              <w:t xml:space="preserve"> AQIP Systems Portfolio</w:t>
            </w:r>
            <w:r w:rsidRPr="000B004B">
              <w:rPr>
                <w:rFonts w:ascii="Arial Narrow" w:hAnsi="Arial Narrow"/>
                <w:sz w:val="20"/>
                <w:szCs w:val="20"/>
              </w:rPr>
              <w:t xml:space="preserve"> (</w:t>
            </w:r>
            <w:r w:rsidR="003135F6" w:rsidRPr="000B004B">
              <w:rPr>
                <w:rFonts w:ascii="Arial Narrow" w:hAnsi="Arial Narrow"/>
                <w:sz w:val="20"/>
                <w:szCs w:val="20"/>
              </w:rPr>
              <w:t xml:space="preserve">100-page document </w:t>
            </w:r>
            <w:r w:rsidRPr="000B004B">
              <w:rPr>
                <w:rFonts w:ascii="Arial Narrow" w:hAnsi="Arial Narrow"/>
                <w:sz w:val="20"/>
                <w:szCs w:val="20"/>
              </w:rPr>
              <w:t>submitted</w:t>
            </w:r>
            <w:r w:rsidR="003135F6" w:rsidRPr="000B004B">
              <w:rPr>
                <w:rFonts w:ascii="Arial Narrow" w:hAnsi="Arial Narrow"/>
                <w:sz w:val="20"/>
                <w:szCs w:val="20"/>
              </w:rPr>
              <w:t xml:space="preserve"> every four years</w:t>
            </w:r>
            <w:r w:rsidRPr="000B004B">
              <w:rPr>
                <w:rFonts w:ascii="Arial Narrow" w:hAnsi="Arial Narrow"/>
                <w:sz w:val="20"/>
                <w:szCs w:val="20"/>
              </w:rPr>
              <w:t>)</w:t>
            </w:r>
            <w:r w:rsidR="003135F6" w:rsidRPr="000B004B">
              <w:rPr>
                <w:rFonts w:ascii="Arial Narrow" w:hAnsi="Arial Narrow"/>
                <w:sz w:val="20"/>
                <w:szCs w:val="20"/>
              </w:rPr>
              <w:t xml:space="preserve">. To </w:t>
            </w:r>
            <w:r w:rsidR="000A1CAE">
              <w:rPr>
                <w:rFonts w:ascii="Arial Narrow" w:hAnsi="Arial Narrow"/>
                <w:sz w:val="20"/>
                <w:szCs w:val="20"/>
              </w:rPr>
              <w:t xml:space="preserve">increase awareness and help </w:t>
            </w:r>
            <w:r w:rsidR="003135F6" w:rsidRPr="000B004B">
              <w:rPr>
                <w:rFonts w:ascii="Arial Narrow" w:hAnsi="Arial Narrow"/>
                <w:sz w:val="20"/>
                <w:szCs w:val="20"/>
              </w:rPr>
              <w:t>gather</w:t>
            </w:r>
            <w:r w:rsidRPr="000B004B">
              <w:rPr>
                <w:rFonts w:ascii="Arial Narrow" w:hAnsi="Arial Narrow"/>
                <w:sz w:val="20"/>
                <w:szCs w:val="20"/>
              </w:rPr>
              <w:t xml:space="preserve"> Portfolio</w:t>
            </w:r>
            <w:r w:rsidR="003135F6" w:rsidRPr="000B004B">
              <w:rPr>
                <w:rFonts w:ascii="Arial Narrow" w:hAnsi="Arial Narrow"/>
                <w:sz w:val="20"/>
                <w:szCs w:val="20"/>
              </w:rPr>
              <w:t xml:space="preserve"> information</w:t>
            </w:r>
            <w:r w:rsidRPr="000B004B">
              <w:rPr>
                <w:rFonts w:ascii="Arial Narrow" w:hAnsi="Arial Narrow"/>
                <w:sz w:val="20"/>
                <w:szCs w:val="20"/>
              </w:rPr>
              <w:t>,</w:t>
            </w:r>
            <w:r w:rsidR="003135F6" w:rsidRPr="000B004B">
              <w:rPr>
                <w:rFonts w:ascii="Arial Narrow" w:hAnsi="Arial Narrow"/>
                <w:sz w:val="20"/>
                <w:szCs w:val="20"/>
              </w:rPr>
              <w:t xml:space="preserve"> </w:t>
            </w:r>
            <w:r w:rsidR="003135F6" w:rsidRPr="000B004B">
              <w:rPr>
                <w:rFonts w:ascii="Arial Narrow" w:hAnsi="Arial Narrow"/>
                <w:b/>
                <w:sz w:val="20"/>
                <w:szCs w:val="20"/>
              </w:rPr>
              <w:t xml:space="preserve">please </w:t>
            </w:r>
            <w:r w:rsidR="00122E20" w:rsidRPr="000B004B">
              <w:rPr>
                <w:rFonts w:ascii="Arial Narrow" w:hAnsi="Arial Narrow"/>
                <w:b/>
                <w:sz w:val="20"/>
                <w:szCs w:val="20"/>
              </w:rPr>
              <w:t xml:space="preserve">type </w:t>
            </w:r>
            <w:r w:rsidR="009B18C4" w:rsidRPr="000B004B">
              <w:rPr>
                <w:rFonts w:ascii="Arial Narrow" w:hAnsi="Arial Narrow"/>
                <w:b/>
                <w:sz w:val="20"/>
                <w:szCs w:val="20"/>
              </w:rPr>
              <w:t>“X”</w:t>
            </w:r>
            <w:r w:rsidR="003135F6" w:rsidRPr="000B004B">
              <w:rPr>
                <w:rFonts w:ascii="Arial Narrow" w:hAnsi="Arial Narrow"/>
                <w:b/>
                <w:sz w:val="20"/>
                <w:szCs w:val="20"/>
              </w:rPr>
              <w:t xml:space="preserve"> </w:t>
            </w:r>
            <w:r w:rsidR="00122E20" w:rsidRPr="000B004B">
              <w:rPr>
                <w:rFonts w:ascii="Arial Narrow" w:hAnsi="Arial Narrow"/>
                <w:b/>
                <w:sz w:val="20"/>
                <w:szCs w:val="20"/>
              </w:rPr>
              <w:t>for</w:t>
            </w:r>
            <w:r w:rsidR="003135F6" w:rsidRPr="000B004B">
              <w:rPr>
                <w:rFonts w:ascii="Arial Narrow" w:hAnsi="Arial Narrow"/>
                <w:b/>
                <w:sz w:val="20"/>
                <w:szCs w:val="20"/>
              </w:rPr>
              <w:t xml:space="preserve"> all </w:t>
            </w:r>
            <w:r w:rsidR="00510029" w:rsidRPr="000B004B">
              <w:rPr>
                <w:rFonts w:ascii="Arial Narrow" w:hAnsi="Arial Narrow"/>
                <w:b/>
                <w:sz w:val="20"/>
                <w:szCs w:val="20"/>
              </w:rPr>
              <w:t>AQIP</w:t>
            </w:r>
            <w:r w:rsidR="003135F6" w:rsidRPr="000B004B">
              <w:rPr>
                <w:rFonts w:ascii="Arial Narrow" w:hAnsi="Arial Narrow"/>
                <w:b/>
                <w:sz w:val="20"/>
                <w:szCs w:val="20"/>
              </w:rPr>
              <w:t xml:space="preserve"> categories </w:t>
            </w:r>
            <w:r w:rsidRPr="000B004B">
              <w:rPr>
                <w:rFonts w:ascii="Arial Narrow" w:hAnsi="Arial Narrow"/>
                <w:b/>
                <w:sz w:val="20"/>
                <w:szCs w:val="20"/>
              </w:rPr>
              <w:t xml:space="preserve">directly </w:t>
            </w:r>
            <w:r w:rsidR="00147A8B" w:rsidRPr="000B004B">
              <w:rPr>
                <w:rFonts w:ascii="Arial Narrow" w:hAnsi="Arial Narrow"/>
                <w:b/>
                <w:sz w:val="20"/>
                <w:szCs w:val="20"/>
              </w:rPr>
              <w:t>relate</w:t>
            </w:r>
            <w:r w:rsidRPr="000B004B">
              <w:rPr>
                <w:rFonts w:ascii="Arial Narrow" w:hAnsi="Arial Narrow"/>
                <w:b/>
                <w:sz w:val="20"/>
                <w:szCs w:val="20"/>
              </w:rPr>
              <w:t>d</w:t>
            </w:r>
            <w:r w:rsidR="003135F6" w:rsidRPr="000B004B">
              <w:rPr>
                <w:rFonts w:ascii="Arial Narrow" w:hAnsi="Arial Narrow"/>
                <w:b/>
                <w:sz w:val="20"/>
                <w:szCs w:val="20"/>
              </w:rPr>
              <w:t xml:space="preserve"> to your unit</w:t>
            </w:r>
            <w:r w:rsidR="00147A8B" w:rsidRPr="000B004B">
              <w:rPr>
                <w:rFonts w:ascii="Arial Narrow" w:hAnsi="Arial Narrow"/>
                <w:b/>
                <w:sz w:val="20"/>
                <w:szCs w:val="20"/>
              </w:rPr>
              <w:t>’s core mission</w:t>
            </w:r>
            <w:r w:rsidR="003135F6" w:rsidRPr="000B004B">
              <w:rPr>
                <w:rFonts w:ascii="Arial Narrow" w:hAnsi="Arial Narrow"/>
                <w:sz w:val="20"/>
                <w:szCs w:val="20"/>
              </w:rPr>
              <w:t xml:space="preserve">. </w:t>
            </w:r>
            <w:r w:rsidR="00510029" w:rsidRPr="000B004B">
              <w:rPr>
                <w:rFonts w:ascii="Arial Narrow" w:hAnsi="Arial Narrow"/>
                <w:sz w:val="20"/>
                <w:szCs w:val="20"/>
              </w:rPr>
              <w:t xml:space="preserve">Some functions appear in more than one category. </w:t>
            </w:r>
            <w:r w:rsidR="003135F6" w:rsidRPr="000B004B">
              <w:rPr>
                <w:rFonts w:ascii="Arial Narrow" w:hAnsi="Arial Narrow"/>
                <w:sz w:val="20"/>
                <w:szCs w:val="20"/>
              </w:rPr>
              <w:t>This is a first round collection of this information so do the best you can with the selection</w:t>
            </w:r>
            <w:r w:rsidR="000A1CAE">
              <w:rPr>
                <w:rFonts w:ascii="Arial Narrow" w:hAnsi="Arial Narrow"/>
                <w:sz w:val="20"/>
                <w:szCs w:val="20"/>
              </w:rPr>
              <w:t>; if you want help, ask S. Poindexter</w:t>
            </w:r>
            <w:r w:rsidRPr="000B004B">
              <w:rPr>
                <w:rFonts w:ascii="Arial Narrow" w:hAnsi="Arial Narrow"/>
                <w:sz w:val="20"/>
                <w:szCs w:val="20"/>
              </w:rPr>
              <w:t>.</w:t>
            </w:r>
            <w:r w:rsidR="009B18C4" w:rsidRPr="000B004B">
              <w:rPr>
                <w:rFonts w:ascii="Arial Narrow" w:hAnsi="Arial Narrow"/>
                <w:sz w:val="20"/>
                <w:szCs w:val="20"/>
              </w:rPr>
              <w:t xml:space="preserve"> (Note: this section of the form is short-term; it will be deleted once functions have been mapped between units and the Systems Portfolio.) </w:t>
            </w:r>
          </w:p>
          <w:p w:rsidR="003135F6" w:rsidRPr="000B004B" w:rsidRDefault="003135F6" w:rsidP="000A1CAE">
            <w:pPr>
              <w:rPr>
                <w:rFonts w:ascii="Arial Narrow" w:hAnsi="Arial Narrow"/>
                <w:sz w:val="20"/>
                <w:szCs w:val="20"/>
              </w:rPr>
            </w:pP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 xml:space="preserve">AQIP Category 1: Helping Students Learn documents the </w:t>
            </w:r>
            <w:r w:rsidR="00510029" w:rsidRPr="000B004B">
              <w:rPr>
                <w:rFonts w:ascii="Arial Narrow" w:hAnsi="Arial Narrow"/>
                <w:sz w:val="20"/>
                <w:szCs w:val="20"/>
              </w:rPr>
              <w:t>curricular and co-curricular</w:t>
            </w:r>
            <w:r w:rsidRPr="000B004B">
              <w:rPr>
                <w:rFonts w:ascii="Arial Narrow" w:hAnsi="Arial Narrow"/>
                <w:sz w:val="20"/>
                <w:szCs w:val="20"/>
              </w:rPr>
              <w:t xml:space="preserve"> processes and student learning support.</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AQIP Category 2: Accomplishing Other Distinctive Objectives documents the key</w:t>
            </w:r>
            <w:r w:rsidR="009B18C4" w:rsidRPr="000B004B">
              <w:rPr>
                <w:rFonts w:ascii="Arial Narrow" w:hAnsi="Arial Narrow"/>
                <w:sz w:val="20"/>
                <w:szCs w:val="20"/>
              </w:rPr>
              <w:t xml:space="preserve"> non-curricular</w:t>
            </w:r>
            <w:r w:rsidRPr="000B004B">
              <w:rPr>
                <w:rFonts w:ascii="Arial Narrow" w:hAnsi="Arial Narrow"/>
                <w:sz w:val="20"/>
                <w:szCs w:val="20"/>
              </w:rPr>
              <w:t xml:space="preserve"> </w:t>
            </w:r>
            <w:r w:rsidR="009B18C4" w:rsidRPr="000B004B">
              <w:rPr>
                <w:rFonts w:ascii="Arial Narrow" w:hAnsi="Arial Narrow"/>
                <w:sz w:val="20"/>
                <w:szCs w:val="20"/>
              </w:rPr>
              <w:t>functions</w:t>
            </w:r>
            <w:r w:rsidRPr="000B004B">
              <w:rPr>
                <w:rFonts w:ascii="Arial Narrow" w:hAnsi="Arial Narrow"/>
                <w:sz w:val="20"/>
                <w:szCs w:val="20"/>
              </w:rPr>
              <w:t xml:space="preserve"> </w:t>
            </w:r>
            <w:r w:rsidR="00B151EB" w:rsidRPr="000B004B">
              <w:rPr>
                <w:rFonts w:ascii="Arial Narrow" w:hAnsi="Arial Narrow"/>
                <w:sz w:val="20"/>
                <w:szCs w:val="20"/>
              </w:rPr>
              <w:t>by</w:t>
            </w:r>
            <w:r w:rsidRPr="000B004B">
              <w:rPr>
                <w:rFonts w:ascii="Arial Narrow" w:hAnsi="Arial Narrow"/>
                <w:sz w:val="20"/>
                <w:szCs w:val="20"/>
              </w:rPr>
              <w:t xml:space="preserve"> which NMU serves</w:t>
            </w:r>
            <w:r w:rsidR="009B18C4" w:rsidRPr="000B004B">
              <w:rPr>
                <w:rFonts w:ascii="Arial Narrow" w:hAnsi="Arial Narrow"/>
                <w:sz w:val="20"/>
                <w:szCs w:val="20"/>
              </w:rPr>
              <w:t xml:space="preserve"> the region, e.g.</w:t>
            </w:r>
            <w:r w:rsidRPr="000B004B">
              <w:rPr>
                <w:rFonts w:ascii="Arial Narrow" w:hAnsi="Arial Narrow"/>
                <w:sz w:val="20"/>
                <w:szCs w:val="20"/>
              </w:rPr>
              <w:t xml:space="preserve"> community enga</w:t>
            </w:r>
            <w:r w:rsidR="009B18C4" w:rsidRPr="000B004B">
              <w:rPr>
                <w:rFonts w:ascii="Arial Narrow" w:hAnsi="Arial Narrow"/>
                <w:sz w:val="20"/>
                <w:szCs w:val="20"/>
              </w:rPr>
              <w:t xml:space="preserve">gement initiatives of students and employees, </w:t>
            </w:r>
            <w:r w:rsidRPr="000B004B">
              <w:rPr>
                <w:rFonts w:ascii="Arial Narrow" w:hAnsi="Arial Narrow"/>
                <w:sz w:val="20"/>
                <w:szCs w:val="20"/>
              </w:rPr>
              <w:t>and department outreach.</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 xml:space="preserve">AQIP Category 3: Understanding Students’ and Other Stakeholders’ Needs documents how NMU builds relationships with </w:t>
            </w:r>
            <w:r w:rsidR="009B18C4" w:rsidRPr="000B004B">
              <w:rPr>
                <w:rFonts w:ascii="Arial Narrow" w:hAnsi="Arial Narrow"/>
                <w:sz w:val="20"/>
                <w:szCs w:val="20"/>
              </w:rPr>
              <w:t xml:space="preserve">students, alumni and employers </w:t>
            </w:r>
            <w:r w:rsidRPr="000B004B">
              <w:rPr>
                <w:rFonts w:ascii="Arial Narrow" w:hAnsi="Arial Narrow"/>
                <w:sz w:val="20"/>
                <w:szCs w:val="20"/>
              </w:rPr>
              <w:t>and identifies, targets and meets the</w:t>
            </w:r>
            <w:r w:rsidR="009B18C4" w:rsidRPr="000B004B">
              <w:rPr>
                <w:rFonts w:ascii="Arial Narrow" w:hAnsi="Arial Narrow"/>
                <w:sz w:val="20"/>
                <w:szCs w:val="20"/>
              </w:rPr>
              <w:t>ir needs.</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AQIP Category 4: Valuing People documents NMU personnel recruitment, training, satisfaction,</w:t>
            </w:r>
            <w:r w:rsidR="00B151EB" w:rsidRPr="000B004B">
              <w:rPr>
                <w:rFonts w:ascii="Arial Narrow" w:hAnsi="Arial Narrow"/>
                <w:sz w:val="20"/>
                <w:szCs w:val="20"/>
              </w:rPr>
              <w:t xml:space="preserve"> services</w:t>
            </w:r>
            <w:r w:rsidRPr="000B004B">
              <w:rPr>
                <w:rFonts w:ascii="Arial Narrow" w:hAnsi="Arial Narrow"/>
                <w:sz w:val="20"/>
                <w:szCs w:val="20"/>
              </w:rPr>
              <w:t xml:space="preserve"> and programs</w:t>
            </w:r>
            <w:r w:rsidR="00007735" w:rsidRPr="000B004B">
              <w:rPr>
                <w:rFonts w:ascii="Arial Narrow" w:hAnsi="Arial Narrow"/>
                <w:sz w:val="20"/>
                <w:szCs w:val="20"/>
              </w:rPr>
              <w:t>.</w:t>
            </w:r>
            <w:r w:rsidRPr="000B004B">
              <w:rPr>
                <w:rFonts w:ascii="Arial Narrow" w:hAnsi="Arial Narrow"/>
                <w:sz w:val="20"/>
                <w:szCs w:val="20"/>
              </w:rPr>
              <w:t xml:space="preserve"> </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AQIP Category 5: Leading and Com</w:t>
            </w:r>
            <w:r w:rsidR="009B18C4" w:rsidRPr="000B004B">
              <w:rPr>
                <w:rFonts w:ascii="Arial Narrow" w:hAnsi="Arial Narrow"/>
                <w:sz w:val="20"/>
                <w:szCs w:val="20"/>
              </w:rPr>
              <w:t xml:space="preserve">municating documents processes </w:t>
            </w:r>
            <w:r w:rsidRPr="000B004B">
              <w:rPr>
                <w:rFonts w:ascii="Arial Narrow" w:hAnsi="Arial Narrow"/>
                <w:sz w:val="20"/>
                <w:szCs w:val="20"/>
              </w:rPr>
              <w:t xml:space="preserve">that guide NMU in setting directions, making decisions, seeking future opportunities, and communicating decisions and actions. </w:t>
            </w:r>
          </w:p>
          <w:p w:rsidR="003135F6" w:rsidRPr="000B004B" w:rsidRDefault="004E4B07" w:rsidP="000A1CAE">
            <w:pPr>
              <w:ind w:left="274" w:hanging="274"/>
              <w:rPr>
                <w:rFonts w:ascii="Arial Narrow" w:hAnsi="Arial Narrow"/>
                <w:sz w:val="20"/>
                <w:szCs w:val="20"/>
              </w:rPr>
            </w:pPr>
            <w:r>
              <w:rPr>
                <w:rFonts w:ascii="Arial Narrow" w:hAnsi="Arial Narrow" w:cs="Arial"/>
                <w:b/>
                <w:sz w:val="20"/>
                <w:szCs w:val="20"/>
                <w:u w:val="single"/>
              </w:rPr>
              <w:t xml:space="preserve">X </w:t>
            </w:r>
            <w:r w:rsidR="003135F6" w:rsidRPr="000B004B">
              <w:rPr>
                <w:rFonts w:ascii="Arial Narrow" w:hAnsi="Arial Narrow" w:cs="Arial"/>
                <w:b/>
                <w:sz w:val="20"/>
                <w:szCs w:val="20"/>
                <w:u w:val="single"/>
              </w:rPr>
              <w:t xml:space="preserve"> </w:t>
            </w:r>
            <w:r w:rsidR="003135F6" w:rsidRPr="000B004B">
              <w:rPr>
                <w:rFonts w:ascii="Arial Narrow" w:hAnsi="Arial Narrow"/>
                <w:sz w:val="20"/>
                <w:szCs w:val="20"/>
              </w:rPr>
              <w:t>AQIP Category 6: Supporting Institutional Operations documents student and administrative support services, safety, and facilities.</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 xml:space="preserve">AQIP Category 7: Measuring Effectiveness documents </w:t>
            </w:r>
            <w:r w:rsidR="00B151EB" w:rsidRPr="000B004B">
              <w:rPr>
                <w:rFonts w:ascii="Arial Narrow" w:hAnsi="Arial Narrow"/>
                <w:sz w:val="20"/>
                <w:szCs w:val="20"/>
              </w:rPr>
              <w:t xml:space="preserve">IT </w:t>
            </w:r>
            <w:r w:rsidRPr="000B004B">
              <w:rPr>
                <w:rFonts w:ascii="Arial Narrow" w:hAnsi="Arial Narrow"/>
                <w:sz w:val="20"/>
                <w:szCs w:val="20"/>
              </w:rPr>
              <w:t xml:space="preserve">systems </w:t>
            </w:r>
            <w:r w:rsidR="0036417C" w:rsidRPr="000B004B">
              <w:rPr>
                <w:rFonts w:ascii="Arial Narrow" w:hAnsi="Arial Narrow"/>
                <w:sz w:val="20"/>
                <w:szCs w:val="20"/>
              </w:rPr>
              <w:t xml:space="preserve">and institutional research </w:t>
            </w:r>
            <w:r w:rsidRPr="000B004B">
              <w:rPr>
                <w:rFonts w:ascii="Arial Narrow" w:hAnsi="Arial Narrow"/>
                <w:sz w:val="20"/>
                <w:szCs w:val="20"/>
              </w:rPr>
              <w:t xml:space="preserve">NMU employs to collect, analyze, </w:t>
            </w:r>
            <w:r w:rsidR="00B151EB" w:rsidRPr="000B004B">
              <w:rPr>
                <w:rFonts w:ascii="Arial Narrow" w:hAnsi="Arial Narrow"/>
                <w:sz w:val="20"/>
                <w:szCs w:val="20"/>
              </w:rPr>
              <w:t xml:space="preserve">and </w:t>
            </w:r>
            <w:r w:rsidRPr="000B004B">
              <w:rPr>
                <w:rFonts w:ascii="Arial Narrow" w:hAnsi="Arial Narrow"/>
                <w:sz w:val="20"/>
                <w:szCs w:val="20"/>
              </w:rPr>
              <w:t xml:space="preserve">distribute, and </w:t>
            </w:r>
            <w:r w:rsidR="00B151EB" w:rsidRPr="000B004B">
              <w:rPr>
                <w:rFonts w:ascii="Arial Narrow" w:hAnsi="Arial Narrow"/>
                <w:sz w:val="20"/>
                <w:szCs w:val="20"/>
              </w:rPr>
              <w:t xml:space="preserve">how departments </w:t>
            </w:r>
            <w:r w:rsidR="0036417C" w:rsidRPr="000B004B">
              <w:rPr>
                <w:rFonts w:ascii="Arial Narrow" w:hAnsi="Arial Narrow"/>
                <w:sz w:val="20"/>
                <w:szCs w:val="20"/>
              </w:rPr>
              <w:t xml:space="preserve">use them </w:t>
            </w:r>
            <w:r w:rsidR="00B151EB" w:rsidRPr="000B004B">
              <w:rPr>
                <w:rFonts w:ascii="Arial Narrow" w:hAnsi="Arial Narrow"/>
                <w:sz w:val="20"/>
                <w:szCs w:val="20"/>
              </w:rPr>
              <w:t>to m</w:t>
            </w:r>
            <w:r w:rsidRPr="000B004B">
              <w:rPr>
                <w:rFonts w:ascii="Arial Narrow" w:hAnsi="Arial Narrow"/>
                <w:sz w:val="20"/>
                <w:szCs w:val="20"/>
              </w:rPr>
              <w:t>anage</w:t>
            </w:r>
            <w:r w:rsidR="0036417C" w:rsidRPr="000B004B">
              <w:rPr>
                <w:rFonts w:ascii="Arial Narrow" w:hAnsi="Arial Narrow"/>
                <w:sz w:val="20"/>
                <w:szCs w:val="20"/>
              </w:rPr>
              <w:t xml:space="preserve"> improvement, e.g.</w:t>
            </w:r>
            <w:r w:rsidR="00B151EB" w:rsidRPr="000B004B">
              <w:rPr>
                <w:rFonts w:ascii="Arial Narrow" w:hAnsi="Arial Narrow"/>
                <w:sz w:val="20"/>
                <w:szCs w:val="20"/>
              </w:rPr>
              <w:t xml:space="preserve"> use of</w:t>
            </w:r>
            <w:r w:rsidR="0036417C" w:rsidRPr="000B004B">
              <w:rPr>
                <w:rFonts w:ascii="Arial Narrow" w:hAnsi="Arial Narrow"/>
                <w:sz w:val="20"/>
                <w:szCs w:val="20"/>
              </w:rPr>
              <w:t xml:space="preserve"> charts, </w:t>
            </w:r>
            <w:r w:rsidR="00B151EB" w:rsidRPr="000B004B">
              <w:rPr>
                <w:rFonts w:ascii="Arial Narrow" w:hAnsi="Arial Narrow"/>
                <w:sz w:val="20"/>
                <w:szCs w:val="20"/>
              </w:rPr>
              <w:t>“cubes</w:t>
            </w:r>
            <w:r w:rsidR="00510029" w:rsidRPr="000B004B">
              <w:rPr>
                <w:rFonts w:ascii="Arial Narrow" w:hAnsi="Arial Narrow"/>
                <w:sz w:val="20"/>
                <w:szCs w:val="20"/>
              </w:rPr>
              <w:t>,</w:t>
            </w:r>
            <w:r w:rsidR="00B151EB" w:rsidRPr="000B004B">
              <w:rPr>
                <w:rFonts w:ascii="Arial Narrow" w:hAnsi="Arial Narrow"/>
                <w:sz w:val="20"/>
                <w:szCs w:val="20"/>
              </w:rPr>
              <w:t>”</w:t>
            </w:r>
            <w:r w:rsidR="00510029" w:rsidRPr="000B004B">
              <w:rPr>
                <w:rFonts w:ascii="Arial Narrow" w:hAnsi="Arial Narrow"/>
                <w:sz w:val="20"/>
                <w:szCs w:val="20"/>
              </w:rPr>
              <w:t xml:space="preserve"> dashboards</w:t>
            </w:r>
            <w:r w:rsidR="00B151EB" w:rsidRPr="000B004B">
              <w:rPr>
                <w:rFonts w:ascii="Arial Narrow" w:hAnsi="Arial Narrow"/>
                <w:sz w:val="20"/>
                <w:szCs w:val="20"/>
              </w:rPr>
              <w:t>.</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AQIP Category 8: Planning Continuous Improvement documents NMU’s strategic and administrative planning processes.</w:t>
            </w:r>
          </w:p>
          <w:p w:rsidR="003135F6" w:rsidRPr="000B004B" w:rsidRDefault="004E4B07" w:rsidP="000A1CAE">
            <w:pPr>
              <w:ind w:left="274" w:hanging="274"/>
              <w:rPr>
                <w:rFonts w:ascii="Arial Narrow" w:hAnsi="Arial Narrow"/>
                <w:sz w:val="20"/>
                <w:szCs w:val="20"/>
              </w:rPr>
            </w:pPr>
            <w:r>
              <w:rPr>
                <w:rFonts w:ascii="Arial Narrow" w:hAnsi="Arial Narrow" w:cs="Arial"/>
                <w:b/>
                <w:sz w:val="20"/>
                <w:szCs w:val="20"/>
                <w:u w:val="single"/>
              </w:rPr>
              <w:t xml:space="preserve">X </w:t>
            </w:r>
            <w:r w:rsidR="003135F6" w:rsidRPr="000B004B">
              <w:rPr>
                <w:rFonts w:ascii="Arial Narrow" w:hAnsi="Arial Narrow" w:cs="Arial"/>
                <w:b/>
                <w:sz w:val="20"/>
                <w:szCs w:val="20"/>
                <w:u w:val="single"/>
              </w:rPr>
              <w:t xml:space="preserve"> </w:t>
            </w:r>
            <w:r w:rsidR="003135F6" w:rsidRPr="000B004B">
              <w:rPr>
                <w:rFonts w:ascii="Arial Narrow" w:hAnsi="Arial Narrow"/>
                <w:sz w:val="20"/>
                <w:szCs w:val="20"/>
              </w:rPr>
              <w:t xml:space="preserve">AQIP Category 9: Building Collaborative Relationships documents </w:t>
            </w:r>
            <w:r w:rsidR="00B151EB" w:rsidRPr="000B004B">
              <w:rPr>
                <w:rFonts w:ascii="Arial Narrow" w:hAnsi="Arial Narrow"/>
                <w:sz w:val="20"/>
                <w:szCs w:val="20"/>
              </w:rPr>
              <w:t xml:space="preserve">how </w:t>
            </w:r>
            <w:r w:rsidR="003135F6" w:rsidRPr="000B004B">
              <w:rPr>
                <w:rFonts w:ascii="Arial Narrow" w:hAnsi="Arial Narrow"/>
                <w:sz w:val="20"/>
                <w:szCs w:val="20"/>
              </w:rPr>
              <w:t>NMU</w:t>
            </w:r>
            <w:r w:rsidR="00B151EB" w:rsidRPr="000B004B">
              <w:rPr>
                <w:rFonts w:ascii="Arial Narrow" w:hAnsi="Arial Narrow"/>
                <w:sz w:val="20"/>
                <w:szCs w:val="20"/>
              </w:rPr>
              <w:t xml:space="preserve"> works </w:t>
            </w:r>
            <w:r w:rsidR="003135F6" w:rsidRPr="000B004B">
              <w:rPr>
                <w:rFonts w:ascii="Arial Narrow" w:hAnsi="Arial Narrow"/>
                <w:sz w:val="20"/>
                <w:szCs w:val="20"/>
              </w:rPr>
              <w:t>with external organizations from which we receive students (school systems) or goods and services (vendors and utilities), send our graduates (schools and employers), and support or regulate our programs (agencies).</w:t>
            </w:r>
          </w:p>
          <w:p w:rsidR="007C53D1" w:rsidRPr="000A1CAE" w:rsidRDefault="007C53D1" w:rsidP="00B151EB">
            <w:pPr>
              <w:spacing w:before="60"/>
              <w:ind w:left="274" w:hanging="274"/>
              <w:rPr>
                <w:rFonts w:ascii="Arial Narrow" w:hAnsi="Arial Narrow"/>
                <w:sz w:val="12"/>
                <w:szCs w:val="20"/>
              </w:rPr>
            </w:pPr>
          </w:p>
          <w:p w:rsidR="00147A8B" w:rsidRPr="000B004B" w:rsidRDefault="00147A8B" w:rsidP="009B18C4">
            <w:pPr>
              <w:ind w:left="274" w:hanging="274"/>
              <w:jc w:val="center"/>
              <w:rPr>
                <w:rFonts w:ascii="Arial Narrow" w:hAnsi="Arial Narrow"/>
                <w:sz w:val="20"/>
                <w:szCs w:val="20"/>
              </w:rPr>
            </w:pPr>
            <w:r w:rsidRPr="000B004B">
              <w:rPr>
                <w:rFonts w:ascii="Arial Narrow" w:hAnsi="Arial Narrow"/>
                <w:sz w:val="20"/>
                <w:szCs w:val="20"/>
              </w:rPr>
              <w:t>(</w:t>
            </w:r>
            <w:r w:rsidR="009B18C4" w:rsidRPr="000B004B">
              <w:rPr>
                <w:rFonts w:ascii="Arial Narrow" w:hAnsi="Arial Narrow"/>
                <w:sz w:val="20"/>
                <w:szCs w:val="20"/>
              </w:rPr>
              <w:t>A</w:t>
            </w:r>
            <w:r w:rsidRPr="000B004B">
              <w:rPr>
                <w:rFonts w:ascii="Arial Narrow" w:hAnsi="Arial Narrow"/>
                <w:sz w:val="20"/>
                <w:szCs w:val="20"/>
              </w:rPr>
              <w:t xml:space="preserve"> full description of the Portfolio</w:t>
            </w:r>
            <w:r w:rsidR="009B18C4" w:rsidRPr="000B004B">
              <w:rPr>
                <w:rFonts w:ascii="Arial Narrow" w:hAnsi="Arial Narrow"/>
                <w:sz w:val="20"/>
                <w:szCs w:val="20"/>
              </w:rPr>
              <w:t>’s</w:t>
            </w:r>
            <w:r w:rsidRPr="000B004B">
              <w:rPr>
                <w:rFonts w:ascii="Arial Narrow" w:hAnsi="Arial Narrow"/>
                <w:sz w:val="20"/>
                <w:szCs w:val="20"/>
              </w:rPr>
              <w:t xml:space="preserve"> categories and its detailed topics are available at </w:t>
            </w:r>
            <w:hyperlink r:id="rId9" w:history="1">
              <w:r w:rsidRPr="000B004B">
                <w:rPr>
                  <w:rStyle w:val="Hyperlink"/>
                  <w:rFonts w:ascii="Arial Narrow" w:hAnsi="Arial Narrow"/>
                  <w:sz w:val="20"/>
                  <w:szCs w:val="20"/>
                </w:rPr>
                <w:t>www.nmu.edu/aqip</w:t>
              </w:r>
            </w:hyperlink>
            <w:r w:rsidRPr="000B004B">
              <w:rPr>
                <w:rFonts w:ascii="Arial Narrow" w:hAnsi="Arial Narrow"/>
                <w:sz w:val="20"/>
                <w:szCs w:val="20"/>
              </w:rPr>
              <w:t xml:space="preserve">  under the Current Document tab.)</w:t>
            </w:r>
          </w:p>
        </w:tc>
      </w:tr>
    </w:tbl>
    <w:p w:rsidR="003135F6" w:rsidRPr="009860CD" w:rsidRDefault="003135F6" w:rsidP="00952C39">
      <w:pPr>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4"/>
        <w:gridCol w:w="282"/>
        <w:gridCol w:w="5370"/>
      </w:tblGrid>
      <w:tr w:rsidR="00B60EE2" w:rsidRPr="009860CD" w:rsidTr="00CC0C16">
        <w:tc>
          <w:tcPr>
            <w:tcW w:w="5364" w:type="dxa"/>
            <w:tcBorders>
              <w:top w:val="nil"/>
              <w:left w:val="nil"/>
              <w:bottom w:val="nil"/>
              <w:right w:val="nil"/>
            </w:tcBorders>
          </w:tcPr>
          <w:p w:rsidR="00B60EE2" w:rsidRPr="009860CD" w:rsidRDefault="00952C39" w:rsidP="00972106">
            <w:pPr>
              <w:spacing w:after="120"/>
              <w:ind w:left="-90" w:right="-72"/>
              <w:rPr>
                <w:rFonts w:ascii="Arial Narrow" w:hAnsi="Arial Narrow" w:cs="Arial"/>
                <w:b/>
              </w:rPr>
            </w:pPr>
            <w:r w:rsidRPr="009860CD">
              <w:rPr>
                <w:rFonts w:ascii="Arial Narrow" w:hAnsi="Arial Narrow"/>
                <w:sz w:val="22"/>
                <w:szCs w:val="22"/>
              </w:rPr>
              <w:t xml:space="preserve"> </w:t>
            </w:r>
            <w:r w:rsidR="00B60EE2" w:rsidRPr="009860CD">
              <w:rPr>
                <w:rFonts w:ascii="Arial Narrow" w:hAnsi="Arial Narrow" w:cs="Arial"/>
                <w:b/>
                <w:sz w:val="22"/>
                <w:szCs w:val="22"/>
              </w:rPr>
              <w:t>Administrative Objective #1</w:t>
            </w:r>
            <w:r w:rsidR="00B629CB" w:rsidRPr="009860CD">
              <w:rPr>
                <w:rFonts w:ascii="Arial Narrow" w:hAnsi="Arial Narrow" w:cs="Arial"/>
                <w:b/>
                <w:sz w:val="22"/>
                <w:szCs w:val="22"/>
              </w:rPr>
              <w:t xml:space="preserve"> </w:t>
            </w:r>
            <w:r w:rsidR="00B629CB" w:rsidRPr="009860CD">
              <w:rPr>
                <w:rFonts w:ascii="Arial Narrow" w:hAnsi="Arial Narrow" w:cs="Arial"/>
                <w:i/>
                <w:sz w:val="22"/>
                <w:szCs w:val="22"/>
              </w:rPr>
              <w:t>(State a</w:t>
            </w:r>
            <w:r w:rsidR="00CE01D3" w:rsidRPr="009860CD">
              <w:rPr>
                <w:rFonts w:ascii="Arial Narrow" w:hAnsi="Arial Narrow" w:cs="Arial"/>
                <w:i/>
                <w:sz w:val="22"/>
                <w:szCs w:val="22"/>
              </w:rPr>
              <w:t>n ongoing</w:t>
            </w:r>
            <w:r w:rsidR="00B629CB" w:rsidRPr="009860CD">
              <w:rPr>
                <w:rFonts w:ascii="Arial Narrow" w:hAnsi="Arial Narrow" w:cs="Arial"/>
                <w:i/>
                <w:sz w:val="22"/>
                <w:szCs w:val="22"/>
              </w:rPr>
              <w:t xml:space="preserve"> goal by which the unit gauges its overall performance</w:t>
            </w:r>
            <w:r w:rsidR="00E47E9A" w:rsidRPr="009860CD">
              <w:rPr>
                <w:rFonts w:ascii="Arial Narrow" w:hAnsi="Arial Narrow" w:cs="Arial"/>
                <w:i/>
                <w:sz w:val="22"/>
                <w:szCs w:val="22"/>
              </w:rPr>
              <w:t xml:space="preserve"> in a key role</w:t>
            </w:r>
            <w:r w:rsidR="00B629CB" w:rsidRPr="009860CD">
              <w:rPr>
                <w:rFonts w:ascii="Arial Narrow" w:hAnsi="Arial Narrow" w:cs="Arial"/>
                <w:i/>
                <w:sz w:val="22"/>
                <w:szCs w:val="22"/>
              </w:rPr>
              <w:t xml:space="preserve"> year after year</w:t>
            </w:r>
            <w:r w:rsidR="00B151EB" w:rsidRPr="009860CD">
              <w:rPr>
                <w:rFonts w:ascii="Arial Narrow" w:hAnsi="Arial Narrow" w:cs="Arial"/>
                <w:i/>
                <w:sz w:val="22"/>
                <w:szCs w:val="22"/>
              </w:rPr>
              <w:t>, i.e. your “bottom line” measure</w:t>
            </w:r>
            <w:r w:rsidR="00B629CB" w:rsidRPr="009860CD">
              <w:rPr>
                <w:rFonts w:ascii="Arial Narrow" w:hAnsi="Arial Narrow" w:cs="Arial"/>
                <w:i/>
                <w:sz w:val="22"/>
                <w:szCs w:val="22"/>
              </w:rPr>
              <w:t>.)</w:t>
            </w:r>
          </w:p>
        </w:tc>
        <w:tc>
          <w:tcPr>
            <w:tcW w:w="282" w:type="dxa"/>
            <w:tcBorders>
              <w:top w:val="nil"/>
              <w:left w:val="nil"/>
              <w:bottom w:val="nil"/>
              <w:right w:val="nil"/>
            </w:tcBorders>
          </w:tcPr>
          <w:p w:rsidR="00B60EE2" w:rsidRPr="009860CD" w:rsidRDefault="00B60EE2" w:rsidP="00972106">
            <w:pPr>
              <w:spacing w:after="120"/>
              <w:rPr>
                <w:rFonts w:ascii="Arial Narrow" w:hAnsi="Arial Narrow" w:cs="Arial"/>
              </w:rPr>
            </w:pPr>
          </w:p>
        </w:tc>
        <w:tc>
          <w:tcPr>
            <w:tcW w:w="5370" w:type="dxa"/>
            <w:tcBorders>
              <w:top w:val="nil"/>
              <w:left w:val="nil"/>
              <w:bottom w:val="nil"/>
              <w:right w:val="nil"/>
            </w:tcBorders>
          </w:tcPr>
          <w:p w:rsidR="00B60EE2" w:rsidRPr="009860CD" w:rsidRDefault="00844E54" w:rsidP="00972106">
            <w:pPr>
              <w:spacing w:after="120"/>
              <w:rPr>
                <w:rFonts w:ascii="Arial Narrow" w:hAnsi="Arial Narrow"/>
              </w:rPr>
            </w:pPr>
            <w:r w:rsidRPr="009860CD">
              <w:rPr>
                <w:rFonts w:ascii="Arial Narrow" w:hAnsi="Arial Narrow" w:cs="Arial"/>
                <w:b/>
                <w:sz w:val="22"/>
                <w:szCs w:val="22"/>
              </w:rPr>
              <w:t xml:space="preserve">Means/Evidence </w:t>
            </w:r>
            <w:r w:rsidR="007A6A21" w:rsidRPr="009860CD">
              <w:rPr>
                <w:rFonts w:ascii="Arial Narrow" w:hAnsi="Arial Narrow" w:cs="Arial"/>
                <w:b/>
                <w:sz w:val="22"/>
                <w:szCs w:val="22"/>
              </w:rPr>
              <w:t>of Assessment for Objective</w:t>
            </w:r>
            <w:r w:rsidR="000B004B" w:rsidRPr="009860CD">
              <w:rPr>
                <w:rFonts w:ascii="Arial Narrow" w:hAnsi="Arial Narrow" w:cs="Arial"/>
                <w:i/>
                <w:sz w:val="22"/>
                <w:szCs w:val="22"/>
              </w:rPr>
              <w:t xml:space="preserve"> (Describe the statistic or criteria that measures success in achieving this goal.  What is the desired and/or minimum target you expect</w:t>
            </w:r>
            <w:r w:rsidR="000B004B" w:rsidRPr="009860CD">
              <w:rPr>
                <w:rFonts w:ascii="Arial Narrow" w:hAnsi="Arial Narrow" w:cs="Arial"/>
                <w:sz w:val="22"/>
                <w:szCs w:val="22"/>
              </w:rPr>
              <w:t xml:space="preserve">? </w:t>
            </w:r>
            <w:r w:rsidR="000B004B" w:rsidRPr="009860CD">
              <w:rPr>
                <w:rFonts w:ascii="Arial Narrow" w:hAnsi="Arial Narrow" w:cs="Arial"/>
                <w:i/>
                <w:sz w:val="22"/>
                <w:szCs w:val="22"/>
              </w:rPr>
              <w:t>What method is used to collect the data for the statistic</w:t>
            </w:r>
            <w:r w:rsidR="000B004B" w:rsidRPr="009860CD">
              <w:rPr>
                <w:rFonts w:ascii="Arial Narrow" w:hAnsi="Arial Narrow" w:cs="Arial"/>
                <w:sz w:val="22"/>
                <w:szCs w:val="22"/>
              </w:rPr>
              <w:t>?)</w:t>
            </w:r>
          </w:p>
        </w:tc>
      </w:tr>
      <w:tr w:rsidR="00254735" w:rsidRPr="009860CD" w:rsidTr="00E47E9A">
        <w:tc>
          <w:tcPr>
            <w:tcW w:w="5364" w:type="dxa"/>
            <w:tcBorders>
              <w:top w:val="nil"/>
              <w:left w:val="nil"/>
              <w:bottom w:val="nil"/>
              <w:right w:val="nil"/>
            </w:tcBorders>
            <w:shd w:val="clear" w:color="auto" w:fill="F2F2F2" w:themeFill="background1" w:themeFillShade="F2"/>
          </w:tcPr>
          <w:p w:rsidR="002A0346" w:rsidRPr="0013440D" w:rsidRDefault="00D05BEC" w:rsidP="001A6BFB">
            <w:pPr>
              <w:spacing w:after="240"/>
              <w:rPr>
                <w:rFonts w:ascii="Arial Narrow" w:hAnsi="Arial Narrow" w:cs="Arial"/>
              </w:rPr>
            </w:pPr>
            <w:r>
              <w:rPr>
                <w:rFonts w:ascii="Arial Narrow" w:hAnsi="Arial Narrow"/>
                <w:sz w:val="22"/>
                <w:szCs w:val="22"/>
              </w:rPr>
              <w:t>T</w:t>
            </w:r>
            <w:r w:rsidR="009175FC" w:rsidRPr="0013440D">
              <w:rPr>
                <w:rFonts w:ascii="Arial Narrow" w:hAnsi="Arial Narrow"/>
                <w:sz w:val="22"/>
                <w:szCs w:val="22"/>
              </w:rPr>
              <w:t>h</w:t>
            </w:r>
            <w:r>
              <w:rPr>
                <w:rFonts w:ascii="Arial Narrow" w:hAnsi="Arial Narrow"/>
                <w:sz w:val="22"/>
                <w:szCs w:val="22"/>
              </w:rPr>
              <w:t xml:space="preserve">e purpose of this objective is to create a Cost of Risk Report which summarizes the total cost of all of the property and liability insurance programs which fall within the responsibility of this department.   This will summarize the current year’s cost as well as those for the previous 4 years.  It will be shared with University financial management and </w:t>
            </w:r>
            <w:r w:rsidR="001A6BFB">
              <w:rPr>
                <w:rFonts w:ascii="Arial Narrow" w:hAnsi="Arial Narrow"/>
                <w:sz w:val="22"/>
                <w:szCs w:val="22"/>
              </w:rPr>
              <w:t>assist</w:t>
            </w:r>
            <w:r>
              <w:rPr>
                <w:rFonts w:ascii="Arial Narrow" w:hAnsi="Arial Narrow"/>
                <w:sz w:val="22"/>
                <w:szCs w:val="22"/>
              </w:rPr>
              <w:t xml:space="preserve"> the Risk Manager and reader </w:t>
            </w:r>
            <w:r w:rsidR="001A6BFB">
              <w:rPr>
                <w:rFonts w:ascii="Arial Narrow" w:hAnsi="Arial Narrow"/>
                <w:sz w:val="22"/>
                <w:szCs w:val="22"/>
              </w:rPr>
              <w:t>in identifying trends in costs, potential problem areas and forecast costs for coming years.</w:t>
            </w:r>
            <w:r>
              <w:rPr>
                <w:rFonts w:ascii="Arial Narrow" w:hAnsi="Arial Narrow"/>
                <w:sz w:val="22"/>
                <w:szCs w:val="22"/>
              </w:rPr>
              <w:t xml:space="preserve">   </w:t>
            </w:r>
          </w:p>
        </w:tc>
        <w:tc>
          <w:tcPr>
            <w:tcW w:w="282" w:type="dxa"/>
            <w:tcBorders>
              <w:top w:val="nil"/>
              <w:left w:val="nil"/>
              <w:bottom w:val="nil"/>
              <w:right w:val="nil"/>
            </w:tcBorders>
          </w:tcPr>
          <w:p w:rsidR="00254735" w:rsidRPr="009860CD" w:rsidRDefault="00254735" w:rsidP="000A1CAE">
            <w:pPr>
              <w:rPr>
                <w:rFonts w:ascii="Arial Narrow" w:hAnsi="Arial Narrow" w:cs="Arial"/>
              </w:rPr>
            </w:pPr>
          </w:p>
        </w:tc>
        <w:tc>
          <w:tcPr>
            <w:tcW w:w="5370" w:type="dxa"/>
            <w:tcBorders>
              <w:top w:val="nil"/>
              <w:left w:val="nil"/>
              <w:bottom w:val="nil"/>
              <w:right w:val="nil"/>
            </w:tcBorders>
            <w:shd w:val="clear" w:color="auto" w:fill="F2F2F2" w:themeFill="background1" w:themeFillShade="F2"/>
          </w:tcPr>
          <w:p w:rsidR="001A6BFB" w:rsidRDefault="00D05BEC" w:rsidP="001A6BFB">
            <w:pPr>
              <w:rPr>
                <w:rFonts w:ascii="Arial Narrow" w:hAnsi="Arial Narrow"/>
              </w:rPr>
            </w:pPr>
            <w:r w:rsidRPr="0013440D">
              <w:rPr>
                <w:rFonts w:ascii="Arial Narrow" w:hAnsi="Arial Narrow"/>
                <w:sz w:val="22"/>
                <w:szCs w:val="22"/>
              </w:rPr>
              <w:t xml:space="preserve">The University’s </w:t>
            </w:r>
            <w:r w:rsidR="001A6BFB">
              <w:rPr>
                <w:rFonts w:ascii="Arial Narrow" w:hAnsi="Arial Narrow"/>
                <w:sz w:val="22"/>
                <w:szCs w:val="22"/>
              </w:rPr>
              <w:t>C</w:t>
            </w:r>
            <w:r w:rsidRPr="0013440D">
              <w:rPr>
                <w:rFonts w:ascii="Arial Narrow" w:hAnsi="Arial Narrow"/>
                <w:sz w:val="22"/>
                <w:szCs w:val="22"/>
              </w:rPr>
              <w:t xml:space="preserve">ost of </w:t>
            </w:r>
            <w:r w:rsidR="001A6BFB">
              <w:rPr>
                <w:rFonts w:ascii="Arial Narrow" w:hAnsi="Arial Narrow"/>
                <w:sz w:val="22"/>
                <w:szCs w:val="22"/>
              </w:rPr>
              <w:t>R</w:t>
            </w:r>
            <w:r w:rsidRPr="0013440D">
              <w:rPr>
                <w:rFonts w:ascii="Arial Narrow" w:hAnsi="Arial Narrow"/>
                <w:sz w:val="22"/>
                <w:szCs w:val="22"/>
              </w:rPr>
              <w:t>isk is a measure of the total cost of all aspects of its operations that relate to</w:t>
            </w:r>
            <w:r w:rsidR="00E365DF">
              <w:rPr>
                <w:rFonts w:ascii="Arial Narrow" w:hAnsi="Arial Narrow"/>
                <w:sz w:val="22"/>
                <w:szCs w:val="22"/>
              </w:rPr>
              <w:t xml:space="preserve"> property and liability</w:t>
            </w:r>
            <w:r w:rsidRPr="0013440D">
              <w:rPr>
                <w:rFonts w:ascii="Arial Narrow" w:hAnsi="Arial Narrow"/>
                <w:sz w:val="22"/>
                <w:szCs w:val="22"/>
              </w:rPr>
              <w:t xml:space="preserve"> risk, including</w:t>
            </w:r>
            <w:r w:rsidR="001A6BFB">
              <w:rPr>
                <w:rFonts w:ascii="Arial Narrow" w:hAnsi="Arial Narrow"/>
                <w:sz w:val="22"/>
                <w:szCs w:val="22"/>
              </w:rPr>
              <w:t xml:space="preserve"> insurance premiums, self </w:t>
            </w:r>
            <w:r w:rsidR="0084143E">
              <w:rPr>
                <w:rFonts w:ascii="Arial Narrow" w:hAnsi="Arial Narrow"/>
                <w:sz w:val="22"/>
                <w:szCs w:val="22"/>
              </w:rPr>
              <w:t>-</w:t>
            </w:r>
            <w:r w:rsidR="001A6BFB">
              <w:rPr>
                <w:rFonts w:ascii="Arial Narrow" w:hAnsi="Arial Narrow"/>
                <w:sz w:val="22"/>
                <w:szCs w:val="22"/>
              </w:rPr>
              <w:t>insured losses, loss control expenses, and Risk Management Department administrative expenses.</w:t>
            </w:r>
          </w:p>
          <w:p w:rsidR="001A6BFB" w:rsidRDefault="001A6BFB" w:rsidP="001A6BFB">
            <w:pPr>
              <w:rPr>
                <w:rFonts w:ascii="Arial Narrow" w:hAnsi="Arial Narrow"/>
              </w:rPr>
            </w:pPr>
          </w:p>
          <w:p w:rsidR="0084143E" w:rsidRDefault="009A6357" w:rsidP="009A6357">
            <w:pPr>
              <w:rPr>
                <w:rFonts w:ascii="Arial Narrow" w:hAnsi="Arial Narrow"/>
                <w:sz w:val="22"/>
                <w:szCs w:val="22"/>
              </w:rPr>
            </w:pPr>
            <w:r>
              <w:rPr>
                <w:rFonts w:ascii="Arial Narrow" w:hAnsi="Arial Narrow"/>
                <w:sz w:val="22"/>
                <w:szCs w:val="22"/>
              </w:rPr>
              <w:t xml:space="preserve">Create the </w:t>
            </w:r>
            <w:r w:rsidR="0084143E">
              <w:rPr>
                <w:rFonts w:ascii="Arial Narrow" w:hAnsi="Arial Narrow"/>
                <w:sz w:val="22"/>
                <w:szCs w:val="22"/>
              </w:rPr>
              <w:t>Cost of Risk Report, including the summarized expenses for the fiscal year just ended and the preceding four years by August 15</w:t>
            </w:r>
            <w:r w:rsidR="0084143E" w:rsidRPr="0084143E">
              <w:rPr>
                <w:rFonts w:ascii="Arial Narrow" w:hAnsi="Arial Narrow"/>
                <w:sz w:val="22"/>
                <w:szCs w:val="22"/>
                <w:vertAlign w:val="superscript"/>
              </w:rPr>
              <w:t>th</w:t>
            </w:r>
            <w:r w:rsidR="0084143E">
              <w:rPr>
                <w:rFonts w:ascii="Arial Narrow" w:hAnsi="Arial Narrow"/>
                <w:sz w:val="22"/>
                <w:szCs w:val="22"/>
              </w:rPr>
              <w:t xml:space="preserve"> of each year.</w:t>
            </w:r>
          </w:p>
          <w:p w:rsidR="0084143E" w:rsidRDefault="0084143E" w:rsidP="009A6357">
            <w:pPr>
              <w:rPr>
                <w:rFonts w:ascii="Arial Narrow" w:hAnsi="Arial Narrow"/>
                <w:sz w:val="22"/>
                <w:szCs w:val="22"/>
              </w:rPr>
            </w:pPr>
          </w:p>
          <w:p w:rsidR="00A732B1" w:rsidRDefault="00A732B1" w:rsidP="009A6357">
            <w:pPr>
              <w:rPr>
                <w:rFonts w:ascii="Arial Narrow" w:hAnsi="Arial Narrow"/>
                <w:sz w:val="22"/>
                <w:szCs w:val="22"/>
              </w:rPr>
            </w:pPr>
          </w:p>
          <w:p w:rsidR="00A732B1" w:rsidRDefault="00A732B1" w:rsidP="009A6357">
            <w:pPr>
              <w:rPr>
                <w:rFonts w:ascii="Arial Narrow" w:hAnsi="Arial Narrow"/>
                <w:sz w:val="22"/>
                <w:szCs w:val="22"/>
              </w:rPr>
            </w:pPr>
          </w:p>
          <w:p w:rsidR="009A6357" w:rsidRDefault="0084143E" w:rsidP="00A732B1">
            <w:pPr>
              <w:rPr>
                <w:rFonts w:ascii="Arial Narrow" w:hAnsi="Arial Narrow"/>
                <w:sz w:val="22"/>
                <w:szCs w:val="22"/>
              </w:rPr>
            </w:pPr>
            <w:r>
              <w:rPr>
                <w:rFonts w:ascii="Arial Narrow" w:hAnsi="Arial Narrow"/>
                <w:sz w:val="22"/>
                <w:szCs w:val="22"/>
              </w:rPr>
              <w:lastRenderedPageBreak/>
              <w:t xml:space="preserve">This report will identify </w:t>
            </w:r>
            <w:r w:rsidR="00DA6FB7">
              <w:rPr>
                <w:rFonts w:ascii="Arial Narrow" w:hAnsi="Arial Narrow"/>
                <w:sz w:val="22"/>
                <w:szCs w:val="22"/>
              </w:rPr>
              <w:t>trends</w:t>
            </w:r>
            <w:r w:rsidR="00A732B1">
              <w:rPr>
                <w:rFonts w:ascii="Arial Narrow" w:hAnsi="Arial Narrow"/>
                <w:sz w:val="22"/>
                <w:szCs w:val="22"/>
              </w:rPr>
              <w:t xml:space="preserve"> in internal data and include </w:t>
            </w:r>
            <w:r w:rsidR="00DA6FB7">
              <w:rPr>
                <w:rFonts w:ascii="Arial Narrow" w:hAnsi="Arial Narrow"/>
                <w:sz w:val="22"/>
                <w:szCs w:val="22"/>
              </w:rPr>
              <w:t xml:space="preserve">and </w:t>
            </w:r>
            <w:r w:rsidR="00A732B1">
              <w:rPr>
                <w:rFonts w:ascii="Arial Narrow" w:hAnsi="Arial Narrow"/>
                <w:sz w:val="22"/>
                <w:szCs w:val="22"/>
              </w:rPr>
              <w:t>data from external sources to help us compare our costs with other colleges and universities.</w:t>
            </w:r>
          </w:p>
          <w:p w:rsidR="00A732B1" w:rsidRPr="009860CD" w:rsidRDefault="00A732B1" w:rsidP="00A732B1">
            <w:pPr>
              <w:rPr>
                <w:rFonts w:ascii="Arial Narrow" w:hAnsi="Arial Narrow"/>
              </w:rPr>
            </w:pPr>
          </w:p>
        </w:tc>
      </w:tr>
      <w:tr w:rsidR="00254735" w:rsidRPr="009860CD" w:rsidTr="00254735">
        <w:tc>
          <w:tcPr>
            <w:tcW w:w="5364" w:type="dxa"/>
            <w:tcBorders>
              <w:top w:val="nil"/>
              <w:left w:val="nil"/>
              <w:bottom w:val="nil"/>
              <w:right w:val="nil"/>
            </w:tcBorders>
            <w:vAlign w:val="center"/>
          </w:tcPr>
          <w:p w:rsidR="00254735" w:rsidRDefault="00CE01D3" w:rsidP="00547CA8">
            <w:pPr>
              <w:spacing w:after="120"/>
              <w:ind w:right="-162"/>
              <w:rPr>
                <w:rFonts w:ascii="Arial Narrow" w:hAnsi="Arial Narrow" w:cs="Arial"/>
                <w:b/>
                <w:sz w:val="22"/>
                <w:szCs w:val="22"/>
              </w:rPr>
            </w:pPr>
            <w:r w:rsidRPr="009860CD">
              <w:rPr>
                <w:rFonts w:ascii="Arial Narrow" w:hAnsi="Arial Narrow" w:cs="Arial"/>
                <w:b/>
                <w:sz w:val="22"/>
                <w:szCs w:val="22"/>
              </w:rPr>
              <w:lastRenderedPageBreak/>
              <w:t>Summary of Data Collected</w:t>
            </w:r>
          </w:p>
          <w:p w:rsidR="007879DC" w:rsidRDefault="007879DC" w:rsidP="007879DC">
            <w:pPr>
              <w:rPr>
                <w:rFonts w:ascii="Calibri" w:hAnsi="Calibri" w:cs="Calibri"/>
                <w:color w:val="000000"/>
                <w:sz w:val="22"/>
                <w:szCs w:val="22"/>
              </w:rPr>
            </w:pPr>
          </w:p>
          <w:p w:rsidR="00A732B1" w:rsidRDefault="00A732B1" w:rsidP="007879DC">
            <w:pPr>
              <w:rPr>
                <w:rFonts w:ascii="Calibri" w:hAnsi="Calibri" w:cs="Calibri"/>
                <w:color w:val="000000"/>
                <w:sz w:val="22"/>
                <w:szCs w:val="22"/>
              </w:rPr>
            </w:pPr>
          </w:p>
          <w:p w:rsidR="00A732B1" w:rsidRDefault="00A732B1" w:rsidP="007879DC">
            <w:pPr>
              <w:rPr>
                <w:rFonts w:ascii="Calibri" w:hAnsi="Calibri" w:cs="Calibri"/>
                <w:color w:val="000000"/>
                <w:sz w:val="22"/>
                <w:szCs w:val="22"/>
              </w:rPr>
            </w:pPr>
          </w:p>
          <w:p w:rsidR="00A732B1" w:rsidRPr="007879DC" w:rsidRDefault="00A732B1" w:rsidP="007879DC">
            <w:pPr>
              <w:rPr>
                <w:rFonts w:ascii="Calibri" w:hAnsi="Calibri" w:cs="Calibri"/>
                <w:color w:val="000000"/>
                <w:sz w:val="22"/>
                <w:szCs w:val="22"/>
              </w:rPr>
            </w:pPr>
          </w:p>
        </w:tc>
        <w:tc>
          <w:tcPr>
            <w:tcW w:w="282" w:type="dxa"/>
            <w:tcBorders>
              <w:top w:val="nil"/>
              <w:left w:val="nil"/>
              <w:bottom w:val="nil"/>
              <w:right w:val="nil"/>
            </w:tcBorders>
            <w:vAlign w:val="center"/>
          </w:tcPr>
          <w:p w:rsidR="00254735" w:rsidRPr="009860CD" w:rsidRDefault="00254735" w:rsidP="00972106">
            <w:pPr>
              <w:spacing w:before="60" w:after="120"/>
              <w:rPr>
                <w:rFonts w:ascii="Arial Narrow" w:hAnsi="Arial Narrow" w:cs="Arial"/>
              </w:rPr>
            </w:pPr>
          </w:p>
        </w:tc>
        <w:tc>
          <w:tcPr>
            <w:tcW w:w="5370" w:type="dxa"/>
            <w:tcBorders>
              <w:top w:val="nil"/>
              <w:left w:val="nil"/>
              <w:bottom w:val="nil"/>
              <w:right w:val="nil"/>
            </w:tcBorders>
            <w:vAlign w:val="center"/>
          </w:tcPr>
          <w:p w:rsidR="007879DC" w:rsidRPr="00A732B1" w:rsidRDefault="007A6A21" w:rsidP="00972106">
            <w:pPr>
              <w:spacing w:before="60" w:after="120"/>
              <w:rPr>
                <w:rFonts w:ascii="Arial Narrow" w:hAnsi="Arial Narrow" w:cs="Arial"/>
                <w:b/>
                <w:sz w:val="22"/>
                <w:szCs w:val="22"/>
              </w:rPr>
            </w:pPr>
            <w:r w:rsidRPr="009860CD">
              <w:rPr>
                <w:rFonts w:ascii="Arial Narrow" w:hAnsi="Arial Narrow"/>
                <w:b/>
                <w:sz w:val="22"/>
                <w:szCs w:val="22"/>
              </w:rPr>
              <w:t xml:space="preserve">Describe how results </w:t>
            </w:r>
            <w:r w:rsidR="004900A1" w:rsidRPr="009860CD">
              <w:rPr>
                <w:rFonts w:ascii="Arial Narrow" w:hAnsi="Arial Narrow"/>
                <w:b/>
                <w:sz w:val="22"/>
                <w:szCs w:val="22"/>
              </w:rPr>
              <w:t>were</w:t>
            </w:r>
            <w:r w:rsidRPr="009860CD">
              <w:rPr>
                <w:rFonts w:ascii="Arial Narrow" w:hAnsi="Arial Narrow"/>
                <w:b/>
                <w:sz w:val="22"/>
                <w:szCs w:val="22"/>
              </w:rPr>
              <w:t xml:space="preserve"> used to improve </w:t>
            </w:r>
            <w:r w:rsidR="00681063" w:rsidRPr="009860CD">
              <w:rPr>
                <w:rFonts w:ascii="Arial Narrow" w:hAnsi="Arial Narrow" w:cs="Arial"/>
                <w:b/>
                <w:sz w:val="22"/>
                <w:szCs w:val="22"/>
              </w:rPr>
              <w:t>s</w:t>
            </w:r>
            <w:r w:rsidR="00254735" w:rsidRPr="009860CD">
              <w:rPr>
                <w:rFonts w:ascii="Arial Narrow" w:hAnsi="Arial Narrow" w:cs="Arial"/>
                <w:b/>
                <w:sz w:val="22"/>
                <w:szCs w:val="22"/>
              </w:rPr>
              <w:t>ervices</w:t>
            </w:r>
          </w:p>
          <w:p w:rsidR="007879DC" w:rsidRPr="009B27A2" w:rsidRDefault="007879DC" w:rsidP="00972106">
            <w:pPr>
              <w:spacing w:before="60" w:after="120"/>
              <w:rPr>
                <w:rFonts w:ascii="Arial Narrow" w:hAnsi="Arial Narrow" w:cs="Arial"/>
                <w:sz w:val="22"/>
                <w:szCs w:val="22"/>
              </w:rPr>
            </w:pPr>
          </w:p>
          <w:p w:rsidR="002410D9" w:rsidRPr="009B27A2" w:rsidRDefault="002410D9" w:rsidP="00972106">
            <w:pPr>
              <w:spacing w:before="60" w:after="120"/>
              <w:rPr>
                <w:rFonts w:ascii="Arial Narrow" w:hAnsi="Arial Narrow" w:cs="Arial"/>
                <w:sz w:val="22"/>
                <w:szCs w:val="22"/>
              </w:rPr>
            </w:pPr>
          </w:p>
          <w:p w:rsidR="002410D9" w:rsidRPr="009860CD" w:rsidRDefault="002410D9" w:rsidP="00972106">
            <w:pPr>
              <w:spacing w:before="60" w:after="120"/>
              <w:rPr>
                <w:rFonts w:ascii="Arial Narrow" w:hAnsi="Arial Narrow" w:cs="Arial"/>
                <w:b/>
              </w:rPr>
            </w:pPr>
          </w:p>
        </w:tc>
      </w:tr>
      <w:tr w:rsidR="007C53D1" w:rsidRPr="009860CD" w:rsidTr="00E47E9A">
        <w:tc>
          <w:tcPr>
            <w:tcW w:w="5364" w:type="dxa"/>
            <w:tcBorders>
              <w:top w:val="nil"/>
              <w:left w:val="nil"/>
              <w:bottom w:val="single" w:sz="4" w:space="0" w:color="auto"/>
              <w:right w:val="nil"/>
            </w:tcBorders>
            <w:shd w:val="clear" w:color="auto" w:fill="F2F2F2" w:themeFill="background1" w:themeFillShade="F2"/>
          </w:tcPr>
          <w:p w:rsidR="007C53D1" w:rsidRPr="009860CD" w:rsidRDefault="007C53D1" w:rsidP="00972106">
            <w:pPr>
              <w:rPr>
                <w:rFonts w:ascii="Arial Narrow" w:hAnsi="Arial Narrow"/>
              </w:rPr>
            </w:pPr>
          </w:p>
        </w:tc>
        <w:tc>
          <w:tcPr>
            <w:tcW w:w="282" w:type="dxa"/>
            <w:tcBorders>
              <w:top w:val="nil"/>
              <w:left w:val="nil"/>
              <w:bottom w:val="single" w:sz="4" w:space="0" w:color="auto"/>
              <w:right w:val="nil"/>
            </w:tcBorders>
          </w:tcPr>
          <w:p w:rsidR="007C53D1" w:rsidRPr="009860CD" w:rsidRDefault="007C53D1" w:rsidP="00972106">
            <w:pPr>
              <w:rPr>
                <w:rFonts w:ascii="Arial Narrow" w:hAnsi="Arial Narrow" w:cs="Arial"/>
              </w:rPr>
            </w:pPr>
          </w:p>
        </w:tc>
        <w:tc>
          <w:tcPr>
            <w:tcW w:w="5370" w:type="dxa"/>
            <w:tcBorders>
              <w:top w:val="nil"/>
              <w:left w:val="nil"/>
              <w:bottom w:val="single" w:sz="4" w:space="0" w:color="auto"/>
              <w:right w:val="nil"/>
            </w:tcBorders>
            <w:shd w:val="clear" w:color="auto" w:fill="F2F2F2" w:themeFill="background1" w:themeFillShade="F2"/>
          </w:tcPr>
          <w:p w:rsidR="007C53D1" w:rsidRPr="009860CD" w:rsidRDefault="007C53D1" w:rsidP="00972106">
            <w:pPr>
              <w:rPr>
                <w:rFonts w:ascii="Arial Narrow" w:hAnsi="Arial Narrow"/>
              </w:rPr>
            </w:pPr>
          </w:p>
        </w:tc>
      </w:tr>
      <w:tr w:rsidR="007C53D1" w:rsidRPr="009860CD" w:rsidTr="004900A1">
        <w:trPr>
          <w:trHeight w:val="575"/>
        </w:trPr>
        <w:tc>
          <w:tcPr>
            <w:tcW w:w="5364" w:type="dxa"/>
            <w:tcBorders>
              <w:top w:val="nil"/>
              <w:left w:val="nil"/>
              <w:bottom w:val="nil"/>
              <w:right w:val="nil"/>
            </w:tcBorders>
            <w:vAlign w:val="center"/>
          </w:tcPr>
          <w:p w:rsidR="007C53D1" w:rsidRPr="009860CD" w:rsidRDefault="007C53D1" w:rsidP="007879DC">
            <w:pPr>
              <w:spacing w:before="120" w:after="120"/>
              <w:rPr>
                <w:rFonts w:ascii="Arial Narrow" w:hAnsi="Arial Narrow" w:cs="Arial"/>
                <w:b/>
              </w:rPr>
            </w:pPr>
            <w:r w:rsidRPr="009860CD">
              <w:rPr>
                <w:rFonts w:ascii="Arial Narrow" w:hAnsi="Arial Narrow" w:cs="Arial"/>
                <w:b/>
                <w:sz w:val="22"/>
                <w:szCs w:val="22"/>
              </w:rPr>
              <w:t xml:space="preserve">Administrative Objective #2 </w:t>
            </w:r>
          </w:p>
        </w:tc>
        <w:tc>
          <w:tcPr>
            <w:tcW w:w="282" w:type="dxa"/>
            <w:tcBorders>
              <w:top w:val="nil"/>
              <w:left w:val="nil"/>
              <w:bottom w:val="nil"/>
              <w:right w:val="nil"/>
            </w:tcBorders>
            <w:vAlign w:val="center"/>
          </w:tcPr>
          <w:p w:rsidR="007C53D1" w:rsidRPr="009860CD" w:rsidRDefault="007C53D1" w:rsidP="00972106">
            <w:pPr>
              <w:spacing w:before="120" w:after="120"/>
              <w:rPr>
                <w:rFonts w:ascii="Arial Narrow" w:hAnsi="Arial Narrow" w:cs="Arial"/>
              </w:rPr>
            </w:pPr>
          </w:p>
        </w:tc>
        <w:tc>
          <w:tcPr>
            <w:tcW w:w="5370" w:type="dxa"/>
            <w:tcBorders>
              <w:top w:val="nil"/>
              <w:left w:val="nil"/>
              <w:bottom w:val="nil"/>
              <w:right w:val="nil"/>
            </w:tcBorders>
            <w:vAlign w:val="center"/>
          </w:tcPr>
          <w:p w:rsidR="007C53D1" w:rsidRPr="009860CD" w:rsidRDefault="007C53D1" w:rsidP="00972106">
            <w:pPr>
              <w:spacing w:before="120" w:after="120"/>
              <w:rPr>
                <w:rFonts w:ascii="Arial Narrow" w:hAnsi="Arial Narrow" w:cs="Arial"/>
                <w:b/>
              </w:rPr>
            </w:pPr>
            <w:r w:rsidRPr="009860CD">
              <w:rPr>
                <w:rFonts w:ascii="Arial Narrow" w:hAnsi="Arial Narrow" w:cs="Arial"/>
                <w:b/>
                <w:sz w:val="22"/>
                <w:szCs w:val="22"/>
              </w:rPr>
              <w:t xml:space="preserve">Means/Evidence of Assessment for Objective </w:t>
            </w:r>
          </w:p>
        </w:tc>
      </w:tr>
    </w:tbl>
    <w:p w:rsidR="00824F9B" w:rsidRDefault="00824F9B" w:rsidP="0036346B">
      <w:pPr>
        <w:spacing w:before="120"/>
        <w:rPr>
          <w:rFonts w:ascii="Arial Narrow" w:hAnsi="Arial Narrow"/>
          <w:i/>
          <w:sz w:val="22"/>
          <w:szCs w:val="20"/>
        </w:rPr>
        <w:sectPr w:rsidR="00824F9B" w:rsidSect="00254735">
          <w:footerReference w:type="default" r:id="rId10"/>
          <w:pgSz w:w="12240" w:h="15840" w:code="1"/>
          <w:pgMar w:top="720" w:right="720" w:bottom="720" w:left="720" w:header="720" w:footer="720" w:gutter="0"/>
          <w:cols w:space="720"/>
          <w:docGrid w:linePitch="360"/>
        </w:sect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4"/>
        <w:gridCol w:w="282"/>
        <w:gridCol w:w="5532"/>
      </w:tblGrid>
      <w:tr w:rsidR="007C53D1" w:rsidRPr="009860CD" w:rsidTr="006021A0">
        <w:tc>
          <w:tcPr>
            <w:tcW w:w="5364" w:type="dxa"/>
            <w:tcBorders>
              <w:top w:val="nil"/>
              <w:left w:val="nil"/>
              <w:bottom w:val="nil"/>
              <w:right w:val="nil"/>
            </w:tcBorders>
            <w:shd w:val="clear" w:color="auto" w:fill="F2F2F2" w:themeFill="background1" w:themeFillShade="F2"/>
          </w:tcPr>
          <w:p w:rsidR="000D4470" w:rsidRPr="009860CD" w:rsidRDefault="000D4470" w:rsidP="000D4470">
            <w:pPr>
              <w:rPr>
                <w:rFonts w:ascii="Arial Narrow" w:hAnsi="Arial Narrow"/>
              </w:rPr>
            </w:pPr>
            <w:r w:rsidRPr="009860CD">
              <w:rPr>
                <w:rFonts w:ascii="Arial Narrow" w:hAnsi="Arial Narrow"/>
                <w:i/>
                <w:sz w:val="22"/>
                <w:szCs w:val="22"/>
              </w:rPr>
              <w:lastRenderedPageBreak/>
              <w:t>Rationale (Why you are setting this objective? Mark with “X”)</w:t>
            </w:r>
            <w:r w:rsidRPr="009860CD">
              <w:rPr>
                <w:rFonts w:ascii="Arial Narrow" w:hAnsi="Arial Narrow"/>
                <w:sz w:val="22"/>
                <w:szCs w:val="22"/>
              </w:rPr>
              <w:t>:</w:t>
            </w:r>
          </w:p>
          <w:p w:rsidR="000D4470" w:rsidRPr="009860CD" w:rsidRDefault="000D4470" w:rsidP="000D4470">
            <w:pPr>
              <w:rPr>
                <w:rFonts w:ascii="Arial Narrow" w:hAnsi="Arial Narrow"/>
              </w:rPr>
            </w:pPr>
            <w:r>
              <w:rPr>
                <w:rFonts w:ascii="Arial Narrow" w:hAnsi="Arial Narrow"/>
                <w:sz w:val="22"/>
                <w:szCs w:val="22"/>
                <w:u w:val="single"/>
              </w:rPr>
              <w:t xml:space="preserve">X </w:t>
            </w:r>
            <w:r w:rsidRPr="009860CD">
              <w:rPr>
                <w:rFonts w:ascii="Arial Narrow" w:hAnsi="Arial Narrow"/>
                <w:sz w:val="22"/>
                <w:szCs w:val="22"/>
              </w:rPr>
              <w:t xml:space="preserve"> Effectiveness/quality action </w:t>
            </w:r>
            <w:r w:rsidRPr="009860CD">
              <w:rPr>
                <w:rFonts w:ascii="Arial Narrow" w:hAnsi="Arial Narrow"/>
                <w:sz w:val="22"/>
                <w:szCs w:val="22"/>
                <w:u w:val="single"/>
              </w:rPr>
              <w:sym w:font="Symbol" w:char="F092"/>
            </w:r>
            <w:r w:rsidRPr="009860CD">
              <w:rPr>
                <w:rFonts w:ascii="Arial Narrow" w:hAnsi="Arial Narrow"/>
                <w:sz w:val="22"/>
                <w:szCs w:val="22"/>
              </w:rPr>
              <w:t xml:space="preserve"> Efficiency/cost action   </w:t>
            </w:r>
          </w:p>
          <w:p w:rsidR="000D4470" w:rsidRPr="009860CD" w:rsidRDefault="000D4470" w:rsidP="000D4470">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u w:val="single"/>
              </w:rPr>
              <w:t xml:space="preserve"> </w:t>
            </w:r>
            <w:r w:rsidRPr="009860CD">
              <w:rPr>
                <w:rFonts w:ascii="Arial Narrow" w:hAnsi="Arial Narrow"/>
                <w:sz w:val="22"/>
                <w:szCs w:val="22"/>
              </w:rPr>
              <w:t xml:space="preserve">Compliance issue </w:t>
            </w:r>
            <w:r w:rsidRPr="009860CD">
              <w:rPr>
                <w:rFonts w:ascii="Arial Narrow" w:hAnsi="Arial Narrow"/>
                <w:sz w:val="22"/>
                <w:szCs w:val="22"/>
                <w:u w:val="single"/>
              </w:rPr>
              <w:sym w:font="Symbol" w:char="F092"/>
            </w:r>
            <w:r w:rsidRPr="009860CD">
              <w:rPr>
                <w:rFonts w:ascii="Arial Narrow" w:hAnsi="Arial Narrow"/>
                <w:sz w:val="22"/>
                <w:szCs w:val="22"/>
              </w:rPr>
              <w:t xml:space="preserve"> Satisfaction measure  </w:t>
            </w:r>
            <w:r w:rsidRPr="009860CD">
              <w:rPr>
                <w:rFonts w:ascii="Arial Narrow" w:hAnsi="Arial Narrow"/>
                <w:sz w:val="22"/>
                <w:szCs w:val="22"/>
                <w:u w:val="single"/>
              </w:rPr>
              <w:sym w:font="Symbol" w:char="F092"/>
            </w:r>
            <w:r w:rsidRPr="009860CD">
              <w:rPr>
                <w:rFonts w:ascii="Arial Narrow" w:hAnsi="Arial Narrow"/>
                <w:sz w:val="22"/>
                <w:szCs w:val="22"/>
              </w:rPr>
              <w:t xml:space="preserve"> Create baseline  </w:t>
            </w:r>
          </w:p>
          <w:p w:rsidR="000D4470" w:rsidRPr="009860CD" w:rsidRDefault="000D4470" w:rsidP="000D4470">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rPr>
              <w:t xml:space="preserve"> Other (explain): </w:t>
            </w:r>
          </w:p>
          <w:p w:rsidR="000D4470" w:rsidRDefault="000D4470" w:rsidP="000D4470">
            <w:pPr>
              <w:rPr>
                <w:rFonts w:ascii="Arial Narrow" w:hAnsi="Arial Narrow"/>
              </w:rPr>
            </w:pPr>
          </w:p>
          <w:p w:rsidR="000D4470" w:rsidRDefault="0055603A" w:rsidP="000D4470">
            <w:pPr>
              <w:rPr>
                <w:rFonts w:ascii="Arial Narrow" w:hAnsi="Arial Narrow"/>
              </w:rPr>
            </w:pPr>
            <w:r>
              <w:rPr>
                <w:rFonts w:ascii="Arial Narrow" w:hAnsi="Arial Narrow"/>
              </w:rPr>
              <w:t xml:space="preserve">Northern Michigan University arranges for student health insurance to be made available to its students at affordable </w:t>
            </w:r>
            <w:r>
              <w:rPr>
                <w:rFonts w:ascii="Arial Narrow" w:hAnsi="Arial Narrow"/>
              </w:rPr>
              <w:t>group</w:t>
            </w:r>
            <w:r>
              <w:rPr>
                <w:rFonts w:ascii="Arial Narrow" w:hAnsi="Arial Narrow"/>
              </w:rPr>
              <w:t xml:space="preserve"> rates.  </w:t>
            </w:r>
            <w:r w:rsidR="006021A0">
              <w:rPr>
                <w:rFonts w:ascii="Arial Narrow" w:hAnsi="Arial Narrow"/>
              </w:rPr>
              <w:t>A Master Policy is issued to the University that contains the benefits, terms, conditions and rates for the insurance.  The students purchase the insurance directly from the insurance company.</w:t>
            </w:r>
          </w:p>
          <w:p w:rsidR="0055603A" w:rsidRPr="009860CD" w:rsidRDefault="0055603A" w:rsidP="000D4470">
            <w:pPr>
              <w:rPr>
                <w:rFonts w:ascii="Arial Narrow" w:hAnsi="Arial Narrow"/>
              </w:rPr>
            </w:pPr>
          </w:p>
          <w:p w:rsidR="000D4470" w:rsidRDefault="000D4470" w:rsidP="000D4470">
            <w:pPr>
              <w:rPr>
                <w:rFonts w:ascii="Arial Narrow" w:hAnsi="Arial Narrow"/>
              </w:rPr>
            </w:pPr>
            <w:r>
              <w:rPr>
                <w:rFonts w:ascii="Arial Narrow" w:hAnsi="Arial Narrow"/>
              </w:rPr>
              <w:t xml:space="preserve">The </w:t>
            </w:r>
            <w:r w:rsidR="0055603A">
              <w:rPr>
                <w:rFonts w:ascii="Arial Narrow" w:hAnsi="Arial Narrow"/>
              </w:rPr>
              <w:t xml:space="preserve">recently enacted </w:t>
            </w:r>
            <w:r>
              <w:rPr>
                <w:rFonts w:ascii="Arial Narrow" w:hAnsi="Arial Narrow"/>
              </w:rPr>
              <w:t xml:space="preserve">Affordable Care Act (ACA) includes a number of changes that went into effect on July 1, 2012 that effect student health insurance benefit requirements.  These new benefit requirements have approximately doubled the insurance rates that our students will have to pay to purchase this coverage for the </w:t>
            </w:r>
            <w:r w:rsidR="006021A0">
              <w:rPr>
                <w:rFonts w:ascii="Arial Narrow" w:hAnsi="Arial Narrow"/>
              </w:rPr>
              <w:t>academic year beginning in the fall of 2012.</w:t>
            </w:r>
          </w:p>
          <w:p w:rsidR="000D4470" w:rsidRDefault="000D4470" w:rsidP="000D4470">
            <w:pPr>
              <w:rPr>
                <w:rFonts w:ascii="Arial Narrow" w:hAnsi="Arial Narrow"/>
              </w:rPr>
            </w:pPr>
          </w:p>
          <w:p w:rsidR="000D4470" w:rsidRDefault="000D4470" w:rsidP="000D4470">
            <w:pPr>
              <w:rPr>
                <w:rFonts w:ascii="Arial Narrow" w:hAnsi="Arial Narrow"/>
              </w:rPr>
            </w:pPr>
            <w:r>
              <w:rPr>
                <w:rFonts w:ascii="Arial Narrow" w:hAnsi="Arial Narrow"/>
              </w:rPr>
              <w:t>The objective is to design an ACA compliant plan and bid this out for the academic yea</w:t>
            </w:r>
            <w:r w:rsidR="0055603A">
              <w:rPr>
                <w:rFonts w:ascii="Arial Narrow" w:hAnsi="Arial Narrow"/>
              </w:rPr>
              <w:t xml:space="preserve">r beginning in the fall of 2013 and ultimately to have a plan that provides </w:t>
            </w:r>
            <w:r w:rsidR="006E60AF">
              <w:rPr>
                <w:rFonts w:ascii="Arial Narrow" w:hAnsi="Arial Narrow"/>
              </w:rPr>
              <w:t>adequate benefits at the best available cost for our students.</w:t>
            </w:r>
          </w:p>
          <w:p w:rsidR="007C53D1" w:rsidRPr="009860CD" w:rsidRDefault="007C53D1" w:rsidP="0036346B">
            <w:pPr>
              <w:rPr>
                <w:rFonts w:ascii="Arial Narrow" w:hAnsi="Arial Narrow"/>
              </w:rPr>
            </w:pPr>
          </w:p>
        </w:tc>
        <w:tc>
          <w:tcPr>
            <w:tcW w:w="282" w:type="dxa"/>
            <w:tcBorders>
              <w:top w:val="nil"/>
              <w:left w:val="nil"/>
              <w:bottom w:val="nil"/>
              <w:right w:val="nil"/>
            </w:tcBorders>
          </w:tcPr>
          <w:p w:rsidR="007C53D1" w:rsidRPr="009860CD" w:rsidRDefault="007C53D1" w:rsidP="0036346B">
            <w:pPr>
              <w:rPr>
                <w:rFonts w:ascii="Arial Narrow" w:hAnsi="Arial Narrow" w:cs="Arial"/>
              </w:rPr>
            </w:pPr>
          </w:p>
        </w:tc>
        <w:tc>
          <w:tcPr>
            <w:tcW w:w="5532" w:type="dxa"/>
            <w:tcBorders>
              <w:top w:val="nil"/>
              <w:left w:val="nil"/>
              <w:bottom w:val="nil"/>
              <w:right w:val="nil"/>
            </w:tcBorders>
            <w:shd w:val="clear" w:color="auto" w:fill="F2F2F2" w:themeFill="background1" w:themeFillShade="F2"/>
          </w:tcPr>
          <w:p w:rsidR="000D4470" w:rsidRDefault="000D4470" w:rsidP="000D4470">
            <w:pPr>
              <w:pStyle w:val="Default"/>
              <w:numPr>
                <w:ilvl w:val="0"/>
                <w:numId w:val="1"/>
              </w:numPr>
              <w:rPr>
                <w:rFonts w:ascii="Arial Narrow" w:hAnsi="Arial Narrow"/>
                <w:sz w:val="22"/>
                <w:szCs w:val="22"/>
              </w:rPr>
            </w:pPr>
            <w:r>
              <w:rPr>
                <w:rFonts w:ascii="Arial Narrow" w:hAnsi="Arial Narrow"/>
                <w:sz w:val="22"/>
                <w:szCs w:val="22"/>
              </w:rPr>
              <w:t>Review ACA student health insurance requirements and design bid specifications by 3/15/2013.</w:t>
            </w:r>
          </w:p>
          <w:p w:rsidR="000D4470" w:rsidRDefault="000D4470" w:rsidP="000D4470">
            <w:pPr>
              <w:pStyle w:val="Default"/>
              <w:numPr>
                <w:ilvl w:val="0"/>
                <w:numId w:val="1"/>
              </w:numPr>
              <w:rPr>
                <w:rFonts w:ascii="Arial Narrow" w:hAnsi="Arial Narrow"/>
                <w:sz w:val="22"/>
                <w:szCs w:val="22"/>
              </w:rPr>
            </w:pPr>
            <w:r>
              <w:rPr>
                <w:rFonts w:ascii="Arial Narrow" w:hAnsi="Arial Narrow"/>
                <w:sz w:val="22"/>
                <w:szCs w:val="22"/>
              </w:rPr>
              <w:t>Receive bids and award coverage by 5/1/13.</w:t>
            </w:r>
          </w:p>
          <w:p w:rsidR="00220B53" w:rsidRPr="000D4470" w:rsidRDefault="000D4470" w:rsidP="006021A0">
            <w:pPr>
              <w:pStyle w:val="Default"/>
              <w:numPr>
                <w:ilvl w:val="0"/>
                <w:numId w:val="1"/>
              </w:numPr>
              <w:rPr>
                <w:rFonts w:ascii="Arial Narrow" w:hAnsi="Arial Narrow"/>
                <w:sz w:val="22"/>
                <w:szCs w:val="22"/>
              </w:rPr>
            </w:pPr>
            <w:r w:rsidRPr="000D4470">
              <w:rPr>
                <w:rFonts w:ascii="Arial Narrow" w:hAnsi="Arial Narrow"/>
                <w:sz w:val="22"/>
                <w:szCs w:val="22"/>
              </w:rPr>
              <w:t>Coverage effective date</w:t>
            </w:r>
            <w:r w:rsidR="006021A0">
              <w:rPr>
                <w:rFonts w:ascii="Arial Narrow" w:hAnsi="Arial Narrow"/>
                <w:sz w:val="22"/>
                <w:szCs w:val="22"/>
              </w:rPr>
              <w:t xml:space="preserve"> is </w:t>
            </w:r>
            <w:r w:rsidRPr="000D4470">
              <w:rPr>
                <w:rFonts w:ascii="Arial Narrow" w:hAnsi="Arial Narrow"/>
                <w:sz w:val="22"/>
                <w:szCs w:val="22"/>
              </w:rPr>
              <w:t>8/15/13.</w:t>
            </w:r>
          </w:p>
        </w:tc>
      </w:tr>
      <w:tr w:rsidR="007C53D1" w:rsidRPr="009860CD" w:rsidTr="006021A0">
        <w:tc>
          <w:tcPr>
            <w:tcW w:w="5364" w:type="dxa"/>
            <w:tcBorders>
              <w:top w:val="nil"/>
              <w:left w:val="nil"/>
              <w:bottom w:val="nil"/>
              <w:right w:val="nil"/>
            </w:tcBorders>
            <w:vAlign w:val="center"/>
          </w:tcPr>
          <w:p w:rsidR="007C53D1" w:rsidRPr="009860CD" w:rsidRDefault="007C53D1" w:rsidP="00BB5E10">
            <w:pPr>
              <w:spacing w:beforeLines="60" w:before="144" w:after="120"/>
              <w:rPr>
                <w:rFonts w:ascii="Arial Narrow" w:hAnsi="Arial Narrow" w:cs="Arial"/>
                <w:b/>
              </w:rPr>
            </w:pPr>
            <w:r w:rsidRPr="009860CD">
              <w:rPr>
                <w:rFonts w:ascii="Arial Narrow" w:hAnsi="Arial Narrow" w:cs="Arial"/>
                <w:b/>
                <w:sz w:val="22"/>
                <w:szCs w:val="22"/>
              </w:rPr>
              <w:t>Summary of Data Collected</w:t>
            </w:r>
            <w:r w:rsidR="0036346B" w:rsidRPr="009860CD">
              <w:rPr>
                <w:rFonts w:ascii="Arial Narrow" w:hAnsi="Arial Narrow" w:cs="Arial"/>
                <w:b/>
                <w:sz w:val="22"/>
                <w:szCs w:val="22"/>
              </w:rPr>
              <w:t xml:space="preserve"> </w:t>
            </w:r>
            <w:r w:rsidRPr="009860CD">
              <w:rPr>
                <w:rFonts w:ascii="Arial Narrow" w:hAnsi="Arial Narrow" w:cs="Arial"/>
                <w:sz w:val="22"/>
                <w:szCs w:val="22"/>
              </w:rPr>
              <w:t>(</w:t>
            </w:r>
            <w:r w:rsidRPr="009860CD">
              <w:rPr>
                <w:rFonts w:ascii="Arial Narrow" w:hAnsi="Arial Narrow" w:cs="Arial"/>
                <w:i/>
                <w:sz w:val="22"/>
                <w:szCs w:val="22"/>
              </w:rPr>
              <w:t>Summarize the evidence)</w:t>
            </w:r>
          </w:p>
        </w:tc>
        <w:tc>
          <w:tcPr>
            <w:tcW w:w="282" w:type="dxa"/>
            <w:tcBorders>
              <w:top w:val="nil"/>
              <w:left w:val="nil"/>
              <w:bottom w:val="nil"/>
              <w:right w:val="nil"/>
            </w:tcBorders>
            <w:vAlign w:val="center"/>
          </w:tcPr>
          <w:p w:rsidR="007C53D1" w:rsidRPr="009860CD" w:rsidRDefault="007C53D1" w:rsidP="00BB5E10">
            <w:pPr>
              <w:spacing w:beforeLines="60" w:before="144" w:after="120"/>
              <w:rPr>
                <w:rFonts w:ascii="Arial Narrow" w:hAnsi="Arial Narrow" w:cs="Arial"/>
              </w:rPr>
            </w:pPr>
          </w:p>
        </w:tc>
        <w:tc>
          <w:tcPr>
            <w:tcW w:w="5532" w:type="dxa"/>
            <w:tcBorders>
              <w:top w:val="nil"/>
              <w:left w:val="nil"/>
              <w:bottom w:val="nil"/>
              <w:right w:val="nil"/>
            </w:tcBorders>
            <w:vAlign w:val="center"/>
          </w:tcPr>
          <w:p w:rsidR="007C53D1" w:rsidRPr="009860CD" w:rsidRDefault="007C53D1" w:rsidP="00BB5E10">
            <w:pPr>
              <w:spacing w:beforeLines="60" w:before="144" w:after="120"/>
              <w:rPr>
                <w:rFonts w:ascii="Arial Narrow" w:hAnsi="Arial Narrow" w:cs="Arial"/>
                <w:b/>
              </w:rPr>
            </w:pPr>
            <w:r w:rsidRPr="009860CD">
              <w:rPr>
                <w:rFonts w:ascii="Arial Narrow" w:hAnsi="Arial Narrow" w:cs="Arial"/>
                <w:b/>
                <w:sz w:val="22"/>
                <w:szCs w:val="22"/>
              </w:rPr>
              <w:t>Use of Results to Improve Unit Services</w:t>
            </w:r>
          </w:p>
        </w:tc>
      </w:tr>
      <w:tr w:rsidR="007C53D1" w:rsidRPr="009860CD" w:rsidTr="006021A0">
        <w:tc>
          <w:tcPr>
            <w:tcW w:w="5364" w:type="dxa"/>
            <w:tcBorders>
              <w:top w:val="nil"/>
              <w:left w:val="nil"/>
              <w:bottom w:val="single" w:sz="4" w:space="0" w:color="auto"/>
              <w:right w:val="nil"/>
            </w:tcBorders>
            <w:shd w:val="clear" w:color="auto" w:fill="F2F2F2" w:themeFill="background1" w:themeFillShade="F2"/>
          </w:tcPr>
          <w:p w:rsidR="007879DC" w:rsidRDefault="007879DC" w:rsidP="0036346B">
            <w:pPr>
              <w:rPr>
                <w:rFonts w:ascii="Arial Narrow" w:hAnsi="Arial Narrow"/>
              </w:rPr>
            </w:pPr>
          </w:p>
          <w:p w:rsidR="00B95B97" w:rsidRDefault="00B95B97" w:rsidP="0036346B">
            <w:pPr>
              <w:rPr>
                <w:rFonts w:ascii="Arial Narrow" w:hAnsi="Arial Narrow"/>
              </w:rPr>
            </w:pPr>
          </w:p>
          <w:p w:rsidR="00B95B97" w:rsidRDefault="00B95B97" w:rsidP="0036346B">
            <w:pPr>
              <w:rPr>
                <w:rFonts w:ascii="Arial Narrow" w:hAnsi="Arial Narrow"/>
              </w:rPr>
            </w:pPr>
          </w:p>
          <w:p w:rsidR="00B95B97" w:rsidRDefault="00B95B97" w:rsidP="0036346B">
            <w:pPr>
              <w:rPr>
                <w:rFonts w:ascii="Arial Narrow" w:hAnsi="Arial Narrow"/>
              </w:rPr>
            </w:pPr>
          </w:p>
          <w:p w:rsidR="00B95B97" w:rsidRDefault="00B95B97" w:rsidP="0036346B">
            <w:pPr>
              <w:rPr>
                <w:rFonts w:ascii="Arial Narrow" w:hAnsi="Arial Narrow"/>
              </w:rPr>
            </w:pPr>
          </w:p>
          <w:p w:rsidR="00B95B97" w:rsidRDefault="00B95B97" w:rsidP="0036346B">
            <w:pPr>
              <w:rPr>
                <w:rFonts w:ascii="Arial Narrow" w:hAnsi="Arial Narrow"/>
              </w:rPr>
            </w:pPr>
          </w:p>
          <w:p w:rsidR="00B95B97" w:rsidRPr="009860CD" w:rsidRDefault="00B95B97" w:rsidP="0036346B">
            <w:pPr>
              <w:rPr>
                <w:rFonts w:ascii="Arial Narrow" w:hAnsi="Arial Narrow"/>
              </w:rPr>
            </w:pPr>
          </w:p>
        </w:tc>
        <w:tc>
          <w:tcPr>
            <w:tcW w:w="282" w:type="dxa"/>
            <w:tcBorders>
              <w:top w:val="nil"/>
              <w:left w:val="nil"/>
              <w:bottom w:val="single" w:sz="4" w:space="0" w:color="auto"/>
              <w:right w:val="nil"/>
            </w:tcBorders>
          </w:tcPr>
          <w:p w:rsidR="007C53D1" w:rsidRPr="009860CD" w:rsidRDefault="007C53D1" w:rsidP="0036346B">
            <w:pPr>
              <w:rPr>
                <w:rFonts w:ascii="Arial Narrow" w:hAnsi="Arial Narrow" w:cs="Arial"/>
              </w:rPr>
            </w:pPr>
          </w:p>
        </w:tc>
        <w:tc>
          <w:tcPr>
            <w:tcW w:w="5532" w:type="dxa"/>
            <w:tcBorders>
              <w:top w:val="nil"/>
              <w:left w:val="nil"/>
              <w:bottom w:val="single" w:sz="4" w:space="0" w:color="auto"/>
              <w:right w:val="nil"/>
            </w:tcBorders>
            <w:shd w:val="clear" w:color="auto" w:fill="F2F2F2" w:themeFill="background1" w:themeFillShade="F2"/>
          </w:tcPr>
          <w:p w:rsidR="00563BAE" w:rsidRPr="009860CD" w:rsidRDefault="00563BAE" w:rsidP="00563BAE">
            <w:pPr>
              <w:rPr>
                <w:rFonts w:ascii="Arial Narrow" w:hAnsi="Arial Narrow"/>
              </w:rPr>
            </w:pPr>
          </w:p>
        </w:tc>
      </w:tr>
      <w:tr w:rsidR="007C53D1" w:rsidRPr="009860CD" w:rsidTr="006021A0">
        <w:trPr>
          <w:trHeight w:val="773"/>
        </w:trPr>
        <w:tc>
          <w:tcPr>
            <w:tcW w:w="5364" w:type="dxa"/>
            <w:tcBorders>
              <w:top w:val="nil"/>
              <w:left w:val="nil"/>
              <w:bottom w:val="nil"/>
              <w:right w:val="nil"/>
            </w:tcBorders>
            <w:vAlign w:val="center"/>
          </w:tcPr>
          <w:p w:rsidR="00E06BC8" w:rsidRDefault="007C53D1" w:rsidP="00E06BC8">
            <w:pPr>
              <w:spacing w:before="60" w:after="120"/>
              <w:rPr>
                <w:rFonts w:ascii="Arial Narrow" w:hAnsi="Arial Narrow" w:cs="Arial"/>
                <w:b/>
              </w:rPr>
            </w:pPr>
            <w:r w:rsidRPr="009860CD">
              <w:rPr>
                <w:rFonts w:ascii="Arial Narrow" w:hAnsi="Arial Narrow" w:cs="Arial"/>
                <w:b/>
                <w:sz w:val="22"/>
                <w:szCs w:val="22"/>
              </w:rPr>
              <w:t xml:space="preserve">Administrative Objective #3 </w:t>
            </w:r>
          </w:p>
          <w:p w:rsidR="007C53D1" w:rsidRPr="00E06BC8" w:rsidRDefault="007C53D1" w:rsidP="007C7F89">
            <w:pPr>
              <w:spacing w:before="60" w:after="120"/>
              <w:rPr>
                <w:rFonts w:ascii="Arial Narrow" w:hAnsi="Arial Narrow" w:cs="Arial"/>
              </w:rPr>
            </w:pPr>
          </w:p>
        </w:tc>
        <w:tc>
          <w:tcPr>
            <w:tcW w:w="282"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rPr>
            </w:pPr>
          </w:p>
        </w:tc>
        <w:tc>
          <w:tcPr>
            <w:tcW w:w="5532" w:type="dxa"/>
            <w:tcBorders>
              <w:top w:val="nil"/>
              <w:left w:val="nil"/>
              <w:bottom w:val="nil"/>
              <w:right w:val="nil"/>
            </w:tcBorders>
          </w:tcPr>
          <w:p w:rsidR="007C53D1" w:rsidRDefault="007C53D1" w:rsidP="00E06BC8">
            <w:pPr>
              <w:spacing w:before="60" w:after="120"/>
              <w:rPr>
                <w:rFonts w:ascii="Arial Narrow" w:hAnsi="Arial Narrow" w:cs="Arial"/>
                <w:b/>
              </w:rPr>
            </w:pPr>
            <w:r w:rsidRPr="009860CD">
              <w:rPr>
                <w:rFonts w:ascii="Arial Narrow" w:hAnsi="Arial Narrow" w:cs="Arial"/>
                <w:b/>
                <w:sz w:val="22"/>
                <w:szCs w:val="22"/>
              </w:rPr>
              <w:t>Means/Evidence of Assessment for Objective</w:t>
            </w:r>
          </w:p>
          <w:p w:rsidR="00E06BC8" w:rsidRPr="009860CD" w:rsidRDefault="00E06BC8" w:rsidP="00E06BC8">
            <w:pPr>
              <w:spacing w:before="60" w:after="120"/>
              <w:rPr>
                <w:rFonts w:ascii="Arial Narrow" w:hAnsi="Arial Narrow" w:cs="Arial"/>
                <w:b/>
              </w:rPr>
            </w:pPr>
          </w:p>
        </w:tc>
      </w:tr>
      <w:tr w:rsidR="007C53D1" w:rsidRPr="009860CD" w:rsidTr="006021A0">
        <w:tc>
          <w:tcPr>
            <w:tcW w:w="5364" w:type="dxa"/>
            <w:tcBorders>
              <w:top w:val="nil"/>
              <w:left w:val="nil"/>
              <w:bottom w:val="nil"/>
              <w:right w:val="nil"/>
            </w:tcBorders>
            <w:shd w:val="clear" w:color="auto" w:fill="F2F2F2" w:themeFill="background1" w:themeFillShade="F2"/>
          </w:tcPr>
          <w:p w:rsidR="007C53D1" w:rsidRPr="009860CD" w:rsidRDefault="0078704B" w:rsidP="00972106">
            <w:pPr>
              <w:rPr>
                <w:rFonts w:ascii="Arial Narrow" w:hAnsi="Arial Narrow"/>
              </w:rPr>
            </w:pPr>
            <w:r w:rsidRPr="009860CD">
              <w:rPr>
                <w:rFonts w:ascii="Arial Narrow" w:hAnsi="Arial Narrow"/>
                <w:i/>
                <w:sz w:val="22"/>
                <w:szCs w:val="22"/>
              </w:rPr>
              <w:t>Rationale (Why you are setting this objective</w:t>
            </w:r>
            <w:r w:rsidR="0036346B" w:rsidRPr="009860CD">
              <w:rPr>
                <w:rFonts w:ascii="Arial Narrow" w:hAnsi="Arial Narrow"/>
                <w:i/>
                <w:sz w:val="22"/>
                <w:szCs w:val="22"/>
              </w:rPr>
              <w:t>? M</w:t>
            </w:r>
            <w:r w:rsidRPr="009860CD">
              <w:rPr>
                <w:rFonts w:ascii="Arial Narrow" w:hAnsi="Arial Narrow"/>
                <w:i/>
                <w:sz w:val="22"/>
                <w:szCs w:val="22"/>
              </w:rPr>
              <w:t>ark with “X”)</w:t>
            </w:r>
            <w:r w:rsidR="007C53D1" w:rsidRPr="009860CD">
              <w:rPr>
                <w:rFonts w:ascii="Arial Narrow" w:hAnsi="Arial Narrow"/>
                <w:sz w:val="22"/>
                <w:szCs w:val="22"/>
              </w:rPr>
              <w:t>:</w:t>
            </w:r>
          </w:p>
          <w:p w:rsidR="007C53D1" w:rsidRPr="009860CD" w:rsidRDefault="000D4470" w:rsidP="00972106">
            <w:pPr>
              <w:rPr>
                <w:rFonts w:ascii="Arial Narrow" w:hAnsi="Arial Narrow"/>
              </w:rPr>
            </w:pPr>
            <w:r w:rsidRPr="009860CD">
              <w:rPr>
                <w:rFonts w:ascii="Arial Narrow" w:hAnsi="Arial Narrow"/>
                <w:sz w:val="22"/>
                <w:szCs w:val="22"/>
                <w:u w:val="single"/>
              </w:rPr>
              <w:lastRenderedPageBreak/>
              <w:sym w:font="Symbol" w:char="F092"/>
            </w:r>
            <w:r w:rsidRPr="009860CD">
              <w:rPr>
                <w:rFonts w:ascii="Arial Narrow" w:hAnsi="Arial Narrow"/>
                <w:sz w:val="22"/>
                <w:szCs w:val="22"/>
              </w:rPr>
              <w:t xml:space="preserve"> </w:t>
            </w:r>
            <w:r w:rsidR="007C53D1" w:rsidRPr="009860CD">
              <w:rPr>
                <w:rFonts w:ascii="Arial Narrow" w:hAnsi="Arial Narrow"/>
                <w:sz w:val="22"/>
                <w:szCs w:val="22"/>
              </w:rPr>
              <w:t xml:space="preserve"> Effectiveness/quality action </w:t>
            </w:r>
            <w:r w:rsidR="007C53D1" w:rsidRPr="009860CD">
              <w:rPr>
                <w:rFonts w:ascii="Arial Narrow" w:hAnsi="Arial Narrow"/>
                <w:sz w:val="22"/>
                <w:szCs w:val="22"/>
                <w:u w:val="single"/>
              </w:rPr>
              <w:sym w:font="Symbol" w:char="F092"/>
            </w:r>
            <w:r w:rsidR="007C53D1" w:rsidRPr="009860CD">
              <w:rPr>
                <w:rFonts w:ascii="Arial Narrow" w:hAnsi="Arial Narrow"/>
                <w:sz w:val="22"/>
                <w:szCs w:val="22"/>
              </w:rPr>
              <w:t xml:space="preserve"> Efficiency/cost action   </w:t>
            </w:r>
          </w:p>
          <w:p w:rsidR="007C53D1" w:rsidRPr="009860CD" w:rsidRDefault="007C53D1" w:rsidP="00972106">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u w:val="single"/>
              </w:rPr>
              <w:t xml:space="preserve"> </w:t>
            </w:r>
            <w:r w:rsidRPr="009860CD">
              <w:rPr>
                <w:rFonts w:ascii="Arial Narrow" w:hAnsi="Arial Narrow"/>
                <w:sz w:val="22"/>
                <w:szCs w:val="22"/>
              </w:rPr>
              <w:t xml:space="preserve">Compliance issue </w:t>
            </w:r>
            <w:r w:rsidRPr="009860CD">
              <w:rPr>
                <w:rFonts w:ascii="Arial Narrow" w:hAnsi="Arial Narrow"/>
                <w:sz w:val="22"/>
                <w:szCs w:val="22"/>
                <w:u w:val="single"/>
              </w:rPr>
              <w:sym w:font="Symbol" w:char="F092"/>
            </w:r>
            <w:r w:rsidRPr="009860CD">
              <w:rPr>
                <w:rFonts w:ascii="Arial Narrow" w:hAnsi="Arial Narrow"/>
                <w:sz w:val="22"/>
                <w:szCs w:val="22"/>
              </w:rPr>
              <w:t xml:space="preserve"> Satisfaction measure  </w:t>
            </w:r>
            <w:r w:rsidRPr="009860CD">
              <w:rPr>
                <w:rFonts w:ascii="Arial Narrow" w:hAnsi="Arial Narrow"/>
                <w:sz w:val="22"/>
                <w:szCs w:val="22"/>
                <w:u w:val="single"/>
              </w:rPr>
              <w:sym w:font="Symbol" w:char="F092"/>
            </w:r>
            <w:r w:rsidRPr="009860CD">
              <w:rPr>
                <w:rFonts w:ascii="Arial Narrow" w:hAnsi="Arial Narrow"/>
                <w:sz w:val="22"/>
                <w:szCs w:val="22"/>
              </w:rPr>
              <w:t xml:space="preserve"> Create baseline  </w:t>
            </w:r>
          </w:p>
          <w:p w:rsidR="007C53D1" w:rsidRPr="009860CD" w:rsidRDefault="007C53D1" w:rsidP="00972106">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rPr>
              <w:t xml:space="preserve"> Other (explain): </w:t>
            </w:r>
          </w:p>
          <w:p w:rsidR="007C53D1" w:rsidRPr="009860CD" w:rsidRDefault="007C53D1" w:rsidP="00972106">
            <w:pPr>
              <w:rPr>
                <w:rFonts w:ascii="Arial Narrow" w:hAnsi="Arial Narrow"/>
              </w:rPr>
            </w:pPr>
          </w:p>
          <w:p w:rsidR="003C0AD4" w:rsidRDefault="003C0AD4" w:rsidP="003C0AD4">
            <w:pPr>
              <w:rPr>
                <w:rFonts w:ascii="Arial Narrow" w:hAnsi="Arial Narrow"/>
              </w:rPr>
            </w:pPr>
          </w:p>
          <w:p w:rsidR="007C53D1" w:rsidRPr="009860CD" w:rsidRDefault="007C53D1" w:rsidP="000D4470">
            <w:pPr>
              <w:rPr>
                <w:rFonts w:ascii="Arial Narrow" w:hAnsi="Arial Narrow"/>
              </w:rPr>
            </w:pPr>
          </w:p>
        </w:tc>
        <w:tc>
          <w:tcPr>
            <w:tcW w:w="282" w:type="dxa"/>
            <w:tcBorders>
              <w:top w:val="nil"/>
              <w:left w:val="nil"/>
              <w:bottom w:val="nil"/>
              <w:right w:val="nil"/>
            </w:tcBorders>
          </w:tcPr>
          <w:p w:rsidR="007C53D1" w:rsidRPr="009860CD" w:rsidRDefault="007C53D1" w:rsidP="00972106">
            <w:pPr>
              <w:rPr>
                <w:rFonts w:ascii="Arial Narrow" w:hAnsi="Arial Narrow" w:cs="Arial"/>
              </w:rPr>
            </w:pPr>
          </w:p>
        </w:tc>
        <w:tc>
          <w:tcPr>
            <w:tcW w:w="5532" w:type="dxa"/>
            <w:tcBorders>
              <w:top w:val="nil"/>
              <w:left w:val="nil"/>
              <w:bottom w:val="nil"/>
              <w:right w:val="nil"/>
            </w:tcBorders>
            <w:shd w:val="clear" w:color="auto" w:fill="F2F2F2" w:themeFill="background1" w:themeFillShade="F2"/>
          </w:tcPr>
          <w:p w:rsidR="007C53D1" w:rsidRDefault="007C53D1" w:rsidP="00972106">
            <w:pPr>
              <w:pStyle w:val="Default"/>
              <w:rPr>
                <w:rFonts w:ascii="Arial Narrow" w:hAnsi="Arial Narrow" w:cs="Arial"/>
                <w:sz w:val="22"/>
                <w:szCs w:val="22"/>
              </w:rPr>
            </w:pPr>
            <w:r w:rsidRPr="009860CD">
              <w:rPr>
                <w:rFonts w:ascii="Arial Narrow" w:hAnsi="Arial Narrow" w:cs="Arial"/>
                <w:sz w:val="22"/>
                <w:szCs w:val="22"/>
              </w:rPr>
              <w:t>Describe timetable plans to achieve objective.</w:t>
            </w:r>
          </w:p>
          <w:p w:rsidR="009C1776" w:rsidRPr="009860CD" w:rsidRDefault="009C1776" w:rsidP="000D4470">
            <w:pPr>
              <w:pStyle w:val="Default"/>
              <w:ind w:left="720"/>
              <w:rPr>
                <w:rFonts w:ascii="Arial Narrow" w:hAnsi="Arial Narrow"/>
                <w:sz w:val="22"/>
                <w:szCs w:val="22"/>
              </w:rPr>
            </w:pPr>
          </w:p>
        </w:tc>
      </w:tr>
      <w:tr w:rsidR="007C53D1" w:rsidRPr="009860CD" w:rsidTr="006021A0">
        <w:tc>
          <w:tcPr>
            <w:tcW w:w="5364"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r w:rsidRPr="009860CD">
              <w:rPr>
                <w:rFonts w:ascii="Arial Narrow" w:hAnsi="Arial Narrow" w:cs="Arial"/>
                <w:b/>
                <w:sz w:val="22"/>
                <w:szCs w:val="22"/>
              </w:rPr>
              <w:lastRenderedPageBreak/>
              <w:t>Summary of Data Collected (</w:t>
            </w:r>
            <w:r w:rsidRPr="009860CD">
              <w:rPr>
                <w:rFonts w:ascii="Arial Narrow" w:hAnsi="Arial Narrow" w:cs="Arial"/>
                <w:sz w:val="22"/>
                <w:szCs w:val="22"/>
              </w:rPr>
              <w:t>Summarize the evidence)</w:t>
            </w:r>
          </w:p>
        </w:tc>
        <w:tc>
          <w:tcPr>
            <w:tcW w:w="282"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p>
        </w:tc>
        <w:tc>
          <w:tcPr>
            <w:tcW w:w="5532"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r w:rsidRPr="009860CD">
              <w:rPr>
                <w:rFonts w:ascii="Arial Narrow" w:hAnsi="Arial Narrow" w:cs="Arial"/>
                <w:b/>
                <w:sz w:val="22"/>
                <w:szCs w:val="22"/>
              </w:rPr>
              <w:t>Use of Results to Improve Unit Services</w:t>
            </w:r>
          </w:p>
        </w:tc>
      </w:tr>
      <w:tr w:rsidR="007C53D1" w:rsidRPr="009860CD" w:rsidTr="006021A0">
        <w:tc>
          <w:tcPr>
            <w:tcW w:w="5364" w:type="dxa"/>
            <w:tcBorders>
              <w:top w:val="nil"/>
              <w:left w:val="nil"/>
              <w:bottom w:val="single" w:sz="4" w:space="0" w:color="auto"/>
              <w:right w:val="nil"/>
            </w:tcBorders>
            <w:shd w:val="clear" w:color="auto" w:fill="F2F2F2" w:themeFill="background1" w:themeFillShade="F2"/>
          </w:tcPr>
          <w:p w:rsidR="007C53D1" w:rsidRPr="009860CD" w:rsidRDefault="007C53D1" w:rsidP="00972106">
            <w:pPr>
              <w:rPr>
                <w:rFonts w:ascii="Arial Narrow" w:hAnsi="Arial Narrow"/>
              </w:rPr>
            </w:pPr>
            <w:r w:rsidRPr="009860CD">
              <w:rPr>
                <w:rFonts w:ascii="Arial Narrow" w:hAnsi="Arial Narrow"/>
                <w:sz w:val="22"/>
                <w:szCs w:val="22"/>
              </w:rPr>
              <w:t>(Fill in only for the REPORT at the end of the year.)</w:t>
            </w:r>
          </w:p>
        </w:tc>
        <w:tc>
          <w:tcPr>
            <w:tcW w:w="282" w:type="dxa"/>
            <w:tcBorders>
              <w:top w:val="nil"/>
              <w:left w:val="nil"/>
              <w:bottom w:val="single" w:sz="4" w:space="0" w:color="auto"/>
              <w:right w:val="nil"/>
            </w:tcBorders>
          </w:tcPr>
          <w:p w:rsidR="007C53D1" w:rsidRPr="009860CD" w:rsidRDefault="007C53D1" w:rsidP="00972106">
            <w:pPr>
              <w:rPr>
                <w:rFonts w:ascii="Arial Narrow" w:hAnsi="Arial Narrow" w:cs="Arial"/>
                <w:i/>
              </w:rPr>
            </w:pPr>
          </w:p>
        </w:tc>
        <w:tc>
          <w:tcPr>
            <w:tcW w:w="5532" w:type="dxa"/>
            <w:tcBorders>
              <w:top w:val="nil"/>
              <w:left w:val="nil"/>
              <w:bottom w:val="single" w:sz="4" w:space="0" w:color="auto"/>
              <w:right w:val="nil"/>
            </w:tcBorders>
            <w:shd w:val="clear" w:color="auto" w:fill="F2F2F2" w:themeFill="background1" w:themeFillShade="F2"/>
          </w:tcPr>
          <w:p w:rsidR="007C53D1" w:rsidRPr="009860CD" w:rsidRDefault="007C53D1" w:rsidP="00972106">
            <w:pPr>
              <w:rPr>
                <w:rFonts w:ascii="Arial Narrow" w:hAnsi="Arial Narrow"/>
              </w:rPr>
            </w:pPr>
            <w:r w:rsidRPr="009860CD">
              <w:rPr>
                <w:rFonts w:ascii="Arial Narrow" w:hAnsi="Arial Narrow"/>
                <w:sz w:val="22"/>
                <w:szCs w:val="22"/>
              </w:rPr>
              <w:t>(Fill in only for the REPORT at the end of the year.)</w:t>
            </w:r>
          </w:p>
        </w:tc>
      </w:tr>
    </w:tbl>
    <w:p w:rsidR="00B60EE2" w:rsidRDefault="00B60EE2" w:rsidP="00E47E9A">
      <w:pPr>
        <w:rPr>
          <w:rFonts w:ascii="Arial Narrow" w:hAnsi="Arial Narrow"/>
        </w:rPr>
      </w:pPr>
    </w:p>
    <w:p w:rsidR="0036346B" w:rsidRPr="00D60189" w:rsidRDefault="00824F9B" w:rsidP="0036346B">
      <w:pPr>
        <w:rPr>
          <w:rFonts w:ascii="Arial Narrow" w:hAnsi="Arial Narrow" w:cstheme="minorHAnsi"/>
          <w:sz w:val="18"/>
        </w:rPr>
      </w:pPr>
      <w:r w:rsidRPr="00D60189">
        <w:rPr>
          <w:rStyle w:val="FootnoteReference"/>
          <w:rFonts w:ascii="Arial Narrow" w:hAnsi="Arial Narrow" w:cstheme="minorHAnsi"/>
          <w:sz w:val="18"/>
        </w:rPr>
        <w:footnoteRef/>
      </w:r>
      <w:r w:rsidRPr="00D60189">
        <w:rPr>
          <w:rFonts w:ascii="Arial Narrow" w:hAnsi="Arial Narrow" w:cstheme="minorHAnsi"/>
          <w:sz w:val="18"/>
        </w:rPr>
        <w:t xml:space="preserve"> Many service units already use an evaluative measure and this approach is now more common in assessment theory– not everything we try works out the way as hoped and </w:t>
      </w:r>
      <w:r w:rsidR="00D67DCF" w:rsidRPr="00D60189">
        <w:rPr>
          <w:rFonts w:ascii="Arial Narrow" w:hAnsi="Arial Narrow" w:cstheme="minorHAnsi"/>
          <w:sz w:val="18"/>
        </w:rPr>
        <w:t xml:space="preserve">creating </w:t>
      </w:r>
      <w:r w:rsidRPr="00D60189">
        <w:rPr>
          <w:rFonts w:ascii="Arial Narrow" w:hAnsi="Arial Narrow" w:cstheme="minorHAnsi"/>
          <w:sz w:val="18"/>
        </w:rPr>
        <w:t xml:space="preserve">a </w:t>
      </w:r>
      <w:r w:rsidR="00D67DCF" w:rsidRPr="00D60189">
        <w:rPr>
          <w:rFonts w:ascii="Arial Narrow" w:hAnsi="Arial Narrow" w:cstheme="minorHAnsi"/>
          <w:sz w:val="18"/>
        </w:rPr>
        <w:t xml:space="preserve">target and/or </w:t>
      </w:r>
      <w:r w:rsidRPr="00D60189">
        <w:rPr>
          <w:rFonts w:ascii="Arial Narrow" w:hAnsi="Arial Narrow" w:cstheme="minorHAnsi"/>
          <w:sz w:val="18"/>
        </w:rPr>
        <w:t>success/bail out threshold is appropriate. In cases where this is a new approach for a unit, in the 201</w:t>
      </w:r>
      <w:r w:rsidR="00D67DCF" w:rsidRPr="00D60189">
        <w:rPr>
          <w:rFonts w:ascii="Arial Narrow" w:hAnsi="Arial Narrow" w:cstheme="minorHAnsi"/>
          <w:sz w:val="18"/>
        </w:rPr>
        <w:t>1-1</w:t>
      </w:r>
      <w:r w:rsidRPr="00D60189">
        <w:rPr>
          <w:rFonts w:ascii="Arial Narrow" w:hAnsi="Arial Narrow" w:cstheme="minorHAnsi"/>
          <w:sz w:val="18"/>
        </w:rPr>
        <w:t xml:space="preserve">2 Plan consider how you </w:t>
      </w:r>
      <w:r w:rsidRPr="00D60189">
        <w:rPr>
          <w:rFonts w:ascii="Arial Narrow" w:hAnsi="Arial Narrow" w:cstheme="minorHAnsi"/>
          <w:i/>
          <w:sz w:val="18"/>
        </w:rPr>
        <w:t>might</w:t>
      </w:r>
      <w:r w:rsidRPr="00D60189">
        <w:rPr>
          <w:rFonts w:ascii="Arial Narrow" w:hAnsi="Arial Narrow" w:cstheme="minorHAnsi"/>
          <w:sz w:val="18"/>
        </w:rPr>
        <w:t xml:space="preserve"> measure the added value of an objective; however, it is not yet a requirement. The OA committee will provide suggestions in its feedback for this year. During the year, </w:t>
      </w:r>
      <w:r w:rsidR="00D67DCF" w:rsidRPr="00D60189">
        <w:rPr>
          <w:rFonts w:ascii="Arial Narrow" w:hAnsi="Arial Narrow" w:cstheme="minorHAnsi"/>
          <w:sz w:val="18"/>
        </w:rPr>
        <w:t>dialogues</w:t>
      </w:r>
      <w:r w:rsidRPr="00D60189">
        <w:rPr>
          <w:rFonts w:ascii="Arial Narrow" w:hAnsi="Arial Narrow" w:cstheme="minorHAnsi"/>
          <w:sz w:val="18"/>
        </w:rPr>
        <w:t>, additional resources, one-on-one meetings and/or seminars will be held</w:t>
      </w:r>
      <w:r w:rsidR="00D67DCF" w:rsidRPr="00D60189">
        <w:rPr>
          <w:rFonts w:ascii="Arial Narrow" w:hAnsi="Arial Narrow" w:cstheme="minorHAnsi"/>
          <w:sz w:val="18"/>
        </w:rPr>
        <w:t xml:space="preserve"> to evolve our OA process</w:t>
      </w:r>
      <w:r w:rsidRPr="00D60189">
        <w:rPr>
          <w:rFonts w:ascii="Arial Narrow" w:hAnsi="Arial Narrow" w:cstheme="minorHAnsi"/>
          <w:sz w:val="18"/>
        </w:rPr>
        <w:t>.</w:t>
      </w:r>
    </w:p>
    <w:p w:rsidR="00824F9B" w:rsidRDefault="00824F9B" w:rsidP="0036346B">
      <w:pPr>
        <w:rPr>
          <w:rFonts w:ascii="Arial Narrow" w:hAnsi="Arial Narrow"/>
          <w:b/>
          <w:sz w:val="22"/>
        </w:rPr>
      </w:pPr>
    </w:p>
    <w:p w:rsidR="00824F9B" w:rsidRDefault="00824F9B" w:rsidP="0036346B">
      <w:pPr>
        <w:rPr>
          <w:rFonts w:ascii="Arial Narrow" w:hAnsi="Arial Narrow"/>
          <w:b/>
          <w:sz w:val="22"/>
        </w:rPr>
      </w:pPr>
    </w:p>
    <w:p w:rsidR="0036346B" w:rsidRPr="00335A5C" w:rsidRDefault="0036346B" w:rsidP="009860CD">
      <w:pPr>
        <w:outlineLvl w:val="0"/>
        <w:rPr>
          <w:rFonts w:ascii="Arial Narrow" w:hAnsi="Arial Narrow"/>
          <w:sz w:val="22"/>
        </w:rPr>
      </w:pPr>
      <w:r w:rsidRPr="00335A5C">
        <w:rPr>
          <w:rFonts w:ascii="Arial Narrow" w:hAnsi="Arial Narrow"/>
          <w:b/>
          <w:sz w:val="22"/>
        </w:rPr>
        <w:t>Road Map Codes to Tie to Unit Objectives</w:t>
      </w:r>
    </w:p>
    <w:p w:rsidR="0036346B" w:rsidRPr="00335A5C" w:rsidRDefault="0036346B" w:rsidP="0036346B">
      <w:pPr>
        <w:rPr>
          <w:rFonts w:ascii="Arial Narrow" w:hAnsi="Arial Narrow"/>
          <w:sz w:val="22"/>
        </w:rPr>
      </w:pPr>
      <w:r w:rsidRPr="00335A5C">
        <w:rPr>
          <w:rFonts w:ascii="Arial Narrow" w:hAnsi="Arial Narrow"/>
          <w:sz w:val="22"/>
        </w:rPr>
        <w:t xml:space="preserve">Some unit objectives may address specific operational issues. Other unit objectives are strategic initiatives </w:t>
      </w:r>
      <w:r>
        <w:rPr>
          <w:rFonts w:ascii="Arial Narrow" w:hAnsi="Arial Narrow"/>
          <w:sz w:val="22"/>
        </w:rPr>
        <w:t>that</w:t>
      </w:r>
      <w:r w:rsidRPr="00335A5C">
        <w:rPr>
          <w:rFonts w:ascii="Arial Narrow" w:hAnsi="Arial Narrow"/>
          <w:sz w:val="22"/>
        </w:rPr>
        <w:t xml:space="preserve"> align with goals in the University strategic plan - Road Map to 2015. </w:t>
      </w:r>
      <w:r>
        <w:rPr>
          <w:rFonts w:ascii="Arial Narrow" w:hAnsi="Arial Narrow"/>
          <w:sz w:val="22"/>
        </w:rPr>
        <w:t xml:space="preserve">These latter unit objectives are potential AQIP Action Projects – giving a little more recognition to unit efforts. </w:t>
      </w:r>
      <w:r w:rsidRPr="00335A5C">
        <w:rPr>
          <w:rFonts w:ascii="Arial Narrow" w:hAnsi="Arial Narrow"/>
          <w:sz w:val="22"/>
        </w:rPr>
        <w:t xml:space="preserve">Listed below are Road Map categories and goals, preceded with a code. Use these codes when describing Objectives #2 and #3. (Note: Even if your objective is not an exactly itemized as a Road Map priority, still use the code if it applies to that goal.) The full Road Map is at </w:t>
      </w:r>
      <w:hyperlink r:id="rId11" w:history="1">
        <w:r w:rsidRPr="00335A5C">
          <w:rPr>
            <w:rStyle w:val="Hyperlink"/>
            <w:rFonts w:ascii="Arial Narrow" w:hAnsi="Arial Narrow"/>
            <w:sz w:val="22"/>
          </w:rPr>
          <w:t>www.nmu.edu/roadmap2015</w:t>
        </w:r>
      </w:hyperlink>
      <w:r w:rsidRPr="00335A5C">
        <w:rPr>
          <w:rFonts w:ascii="Arial Narrow" w:hAnsi="Arial Narrow"/>
          <w:sz w:val="22"/>
        </w:rPr>
        <w:t xml:space="preserve">. </w:t>
      </w:r>
    </w:p>
    <w:p w:rsidR="008A22E4" w:rsidRDefault="008A22E4" w:rsidP="00E47E9A">
      <w:pPr>
        <w:rPr>
          <w:rFonts w:ascii="Arial Narrow" w:hAnsi="Arial Narrow"/>
        </w:rPr>
      </w:pPr>
    </w:p>
    <w:tbl>
      <w:tblPr>
        <w:tblStyle w:val="TableGrid"/>
        <w:tblW w:w="4616" w:type="pct"/>
        <w:tblInd w:w="288" w:type="dxa"/>
        <w:tblLook w:val="04A0" w:firstRow="1" w:lastRow="0" w:firstColumn="1" w:lastColumn="0" w:noHBand="0" w:noVBand="1"/>
      </w:tblPr>
      <w:tblGrid>
        <w:gridCol w:w="649"/>
        <w:gridCol w:w="9521"/>
      </w:tblGrid>
      <w:tr w:rsidR="00CF3DE1" w:rsidRPr="0036346B" w:rsidTr="00CF3DE1">
        <w:trPr>
          <w:trHeight w:val="20"/>
        </w:trPr>
        <w:tc>
          <w:tcPr>
            <w:tcW w:w="5000" w:type="pct"/>
            <w:gridSpan w:val="2"/>
            <w:shd w:val="clear" w:color="auto" w:fill="D9D9D9" w:themeFill="background1" w:themeFillShade="D9"/>
            <w:noWrap/>
            <w:hideMark/>
          </w:tcPr>
          <w:p w:rsidR="00CF3DE1" w:rsidRPr="0036346B" w:rsidRDefault="00CF3DE1" w:rsidP="00CF3DE1">
            <w:pPr>
              <w:jc w:val="center"/>
              <w:rPr>
                <w:rFonts w:ascii="Arial Narrow" w:hAnsi="Arial Narrow"/>
                <w:b/>
                <w:i/>
                <w:iCs/>
                <w:sz w:val="20"/>
                <w:szCs w:val="20"/>
              </w:rPr>
            </w:pPr>
            <w:r>
              <w:rPr>
                <w:rFonts w:ascii="Arial Narrow" w:hAnsi="Arial Narrow"/>
                <w:b/>
                <w:i/>
                <w:iCs/>
                <w:sz w:val="20"/>
                <w:szCs w:val="20"/>
              </w:rPr>
              <w:t>Road Map to 2015 Goals</w:t>
            </w:r>
          </w:p>
        </w:tc>
      </w:tr>
      <w:tr w:rsidR="0078704B" w:rsidRPr="0036346B" w:rsidTr="00CF3DE1">
        <w:trPr>
          <w:trHeight w:val="20"/>
        </w:trPr>
        <w:tc>
          <w:tcPr>
            <w:tcW w:w="319" w:type="pct"/>
            <w:shd w:val="clear" w:color="auto" w:fill="D9D9D9" w:themeFill="background1" w:themeFillShade="D9"/>
            <w:noWrap/>
            <w:hideMark/>
          </w:tcPr>
          <w:p w:rsidR="0078704B" w:rsidRPr="0036346B" w:rsidRDefault="0078704B">
            <w:pPr>
              <w:rPr>
                <w:rFonts w:ascii="Arial Narrow" w:hAnsi="Arial Narrow"/>
                <w:b/>
                <w:i/>
                <w:iCs/>
                <w:sz w:val="20"/>
                <w:szCs w:val="20"/>
              </w:rPr>
            </w:pPr>
            <w:r w:rsidRPr="0036346B">
              <w:rPr>
                <w:rFonts w:ascii="Arial Narrow" w:hAnsi="Arial Narrow"/>
                <w:b/>
                <w:i/>
                <w:iCs/>
                <w:sz w:val="20"/>
                <w:szCs w:val="20"/>
              </w:rPr>
              <w:t>Code</w:t>
            </w:r>
          </w:p>
        </w:tc>
        <w:tc>
          <w:tcPr>
            <w:tcW w:w="4681" w:type="pct"/>
            <w:shd w:val="clear" w:color="auto" w:fill="D9D9D9" w:themeFill="background1" w:themeFillShade="D9"/>
          </w:tcPr>
          <w:p w:rsidR="0078704B" w:rsidRPr="0036346B" w:rsidRDefault="0078704B">
            <w:pPr>
              <w:rPr>
                <w:rFonts w:ascii="Arial Narrow" w:hAnsi="Arial Narrow"/>
                <w:b/>
                <w:i/>
                <w:iCs/>
                <w:sz w:val="20"/>
                <w:szCs w:val="20"/>
              </w:rPr>
            </w:pPr>
            <w:r w:rsidRPr="0036346B">
              <w:rPr>
                <w:rFonts w:ascii="Arial Narrow" w:hAnsi="Arial Narrow"/>
                <w:b/>
                <w:i/>
                <w:iCs/>
                <w:sz w:val="20"/>
                <w:szCs w:val="20"/>
              </w:rPr>
              <w:t>Innovation</w:t>
            </w:r>
            <w:r w:rsidR="00AA3E90" w:rsidRPr="0036346B">
              <w:rPr>
                <w:rFonts w:ascii="Arial Narrow" w:hAnsi="Arial Narrow"/>
                <w:b/>
                <w:i/>
                <w:iCs/>
                <w:sz w:val="20"/>
                <w:szCs w:val="20"/>
              </w:rPr>
              <w:t xml:space="preserve"> Goals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I-1</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Balance successful programs with new offerings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I-2</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Professional development program that rewards innovation and collaboration</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I-3</w:t>
            </w:r>
          </w:p>
        </w:tc>
        <w:tc>
          <w:tcPr>
            <w:tcW w:w="4681" w:type="pct"/>
            <w:hideMark/>
          </w:tcPr>
          <w:p w:rsidR="008A22E4" w:rsidRPr="0036346B" w:rsidRDefault="008A22E4" w:rsidP="008A22E4">
            <w:pPr>
              <w:rPr>
                <w:rFonts w:ascii="Arial Narrow" w:hAnsi="Arial Narrow"/>
                <w:sz w:val="20"/>
                <w:szCs w:val="20"/>
              </w:rPr>
            </w:pPr>
            <w:r w:rsidRPr="0036346B">
              <w:rPr>
                <w:rFonts w:ascii="Arial Narrow" w:hAnsi="Arial Narrow"/>
                <w:sz w:val="20"/>
                <w:szCs w:val="20"/>
              </w:rPr>
              <w:t>A growing portfolio of corporate collaborations that exploit NMU’s technical expertise, enhance academic programs and facilitate global engagement for students and faculty both on campus and abroad</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I-4</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Develop the financial resources to support innovation and student success</w:t>
            </w:r>
          </w:p>
        </w:tc>
      </w:tr>
      <w:tr w:rsidR="0078704B" w:rsidRPr="0036346B" w:rsidTr="00CF3DE1">
        <w:trPr>
          <w:trHeight w:val="20"/>
        </w:trPr>
        <w:tc>
          <w:tcPr>
            <w:tcW w:w="319" w:type="pct"/>
            <w:shd w:val="clear" w:color="auto" w:fill="D9D9D9" w:themeFill="background1" w:themeFillShade="D9"/>
            <w:noWrap/>
            <w:hideMark/>
          </w:tcPr>
          <w:p w:rsidR="0078704B" w:rsidRPr="0036346B" w:rsidRDefault="0078704B" w:rsidP="004E4B07">
            <w:pPr>
              <w:rPr>
                <w:rFonts w:ascii="Arial Narrow" w:hAnsi="Arial Narrow"/>
                <w:b/>
                <w:i/>
                <w:iCs/>
                <w:sz w:val="20"/>
                <w:szCs w:val="20"/>
              </w:rPr>
            </w:pPr>
          </w:p>
        </w:tc>
        <w:tc>
          <w:tcPr>
            <w:tcW w:w="4681" w:type="pct"/>
            <w:shd w:val="clear" w:color="auto" w:fill="D9D9D9" w:themeFill="background1" w:themeFillShade="D9"/>
          </w:tcPr>
          <w:p w:rsidR="0078704B" w:rsidRPr="0036346B" w:rsidRDefault="00AA3E90" w:rsidP="004E4B07">
            <w:pPr>
              <w:rPr>
                <w:rFonts w:ascii="Arial Narrow" w:hAnsi="Arial Narrow"/>
                <w:b/>
                <w:i/>
                <w:iCs/>
                <w:sz w:val="20"/>
                <w:szCs w:val="20"/>
              </w:rPr>
            </w:pPr>
            <w:r w:rsidRPr="0036346B">
              <w:rPr>
                <w:rFonts w:ascii="Arial Narrow" w:hAnsi="Arial Narrow"/>
                <w:b/>
                <w:i/>
                <w:iCs/>
                <w:sz w:val="20"/>
                <w:szCs w:val="20"/>
              </w:rPr>
              <w:t>Meaningful L</w:t>
            </w:r>
            <w:r w:rsidR="0078704B" w:rsidRPr="0036346B">
              <w:rPr>
                <w:rFonts w:ascii="Arial Narrow" w:hAnsi="Arial Narrow"/>
                <w:b/>
                <w:i/>
                <w:iCs/>
                <w:sz w:val="20"/>
                <w:szCs w:val="20"/>
              </w:rPr>
              <w:t>ives</w:t>
            </w:r>
            <w:r w:rsidRPr="0036346B">
              <w:rPr>
                <w:rFonts w:ascii="Arial Narrow" w:hAnsi="Arial Narrow"/>
                <w:b/>
                <w:i/>
                <w:iCs/>
                <w:sz w:val="20"/>
                <w:szCs w:val="20"/>
              </w:rPr>
              <w:t xml:space="preserve"> Goals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ML-1</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A Liberal Studies Program that provides students with the abilities and knowledge necessary for lifelong learning and effective citizenship in a challenging and rapidly changing world</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ML-2</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Develop a new academic advising system that integrates the advising assets of academic departments and student services to contribute to a new, effective retention management network—similar to our enrollment management network</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ML-3</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Integrate the highest possible level of information technology skills and competencies throughout the university</w:t>
            </w:r>
          </w:p>
        </w:tc>
      </w:tr>
      <w:tr w:rsidR="0078704B" w:rsidRPr="0036346B" w:rsidTr="00CF3DE1">
        <w:trPr>
          <w:trHeight w:val="20"/>
        </w:trPr>
        <w:tc>
          <w:tcPr>
            <w:tcW w:w="319" w:type="pct"/>
            <w:shd w:val="clear" w:color="auto" w:fill="D9D9D9" w:themeFill="background1" w:themeFillShade="D9"/>
            <w:noWrap/>
            <w:hideMark/>
          </w:tcPr>
          <w:p w:rsidR="0078704B" w:rsidRPr="0036346B" w:rsidRDefault="0078704B" w:rsidP="004E4B07">
            <w:pPr>
              <w:rPr>
                <w:rFonts w:ascii="Arial Narrow" w:hAnsi="Arial Narrow"/>
                <w:b/>
                <w:i/>
                <w:iCs/>
                <w:sz w:val="20"/>
                <w:szCs w:val="20"/>
              </w:rPr>
            </w:pPr>
          </w:p>
        </w:tc>
        <w:tc>
          <w:tcPr>
            <w:tcW w:w="4681" w:type="pct"/>
            <w:shd w:val="clear" w:color="auto" w:fill="D9D9D9" w:themeFill="background1" w:themeFillShade="D9"/>
          </w:tcPr>
          <w:p w:rsidR="0078704B" w:rsidRPr="0036346B" w:rsidRDefault="0078704B" w:rsidP="004E4B07">
            <w:pPr>
              <w:rPr>
                <w:rFonts w:ascii="Arial Narrow" w:hAnsi="Arial Narrow"/>
                <w:b/>
                <w:i/>
                <w:iCs/>
                <w:sz w:val="20"/>
                <w:szCs w:val="20"/>
              </w:rPr>
            </w:pPr>
            <w:r w:rsidRPr="0036346B">
              <w:rPr>
                <w:rFonts w:ascii="Arial Narrow" w:hAnsi="Arial Narrow"/>
                <w:b/>
                <w:i/>
                <w:iCs/>
                <w:sz w:val="20"/>
                <w:szCs w:val="20"/>
              </w:rPr>
              <w:t>Campus Attributes</w:t>
            </w:r>
            <w:r w:rsidR="00AA3E90" w:rsidRPr="0036346B">
              <w:rPr>
                <w:rFonts w:ascii="Arial Narrow" w:hAnsi="Arial Narrow"/>
                <w:b/>
                <w:i/>
                <w:iCs/>
                <w:sz w:val="20"/>
                <w:szCs w:val="20"/>
              </w:rPr>
              <w:t xml:space="preserve"> Goals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CA-1</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Utilize the Campus Master Plan and related initiatives to continue to build and develop a greener and more learner-centered campus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CA-2</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Enhance processes throughout campus operations to guide the use of resources and inform resource allocation</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CA-3</w:t>
            </w:r>
          </w:p>
        </w:tc>
        <w:tc>
          <w:tcPr>
            <w:tcW w:w="4681" w:type="pct"/>
            <w:hideMark/>
          </w:tcPr>
          <w:p w:rsidR="008A22E4" w:rsidRPr="0036346B" w:rsidRDefault="008A22E4" w:rsidP="008A22E4">
            <w:pPr>
              <w:rPr>
                <w:rFonts w:ascii="Arial Narrow" w:hAnsi="Arial Narrow"/>
                <w:sz w:val="20"/>
                <w:szCs w:val="20"/>
              </w:rPr>
            </w:pPr>
            <w:r w:rsidRPr="0036346B">
              <w:rPr>
                <w:rFonts w:ascii="Arial Narrow" w:hAnsi="Arial Narrow"/>
                <w:sz w:val="20"/>
                <w:szCs w:val="20"/>
              </w:rPr>
              <w:t xml:space="preserve">Enhance the portfolio of academic programs, research and other activities that leverage the university’s location </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CA-4</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Be a model community for sustainable education and practices</w:t>
            </w:r>
          </w:p>
        </w:tc>
      </w:tr>
      <w:tr w:rsidR="0078704B" w:rsidRPr="0036346B" w:rsidTr="00CF3DE1">
        <w:trPr>
          <w:trHeight w:val="20"/>
        </w:trPr>
        <w:tc>
          <w:tcPr>
            <w:tcW w:w="319" w:type="pct"/>
            <w:shd w:val="clear" w:color="auto" w:fill="D9D9D9" w:themeFill="background1" w:themeFillShade="D9"/>
            <w:noWrap/>
            <w:hideMark/>
          </w:tcPr>
          <w:p w:rsidR="0078704B" w:rsidRPr="0036346B" w:rsidRDefault="0078704B" w:rsidP="004E4B07">
            <w:pPr>
              <w:rPr>
                <w:rFonts w:ascii="Arial Narrow" w:hAnsi="Arial Narrow"/>
                <w:b/>
                <w:i/>
                <w:iCs/>
                <w:sz w:val="20"/>
                <w:szCs w:val="20"/>
              </w:rPr>
            </w:pPr>
          </w:p>
        </w:tc>
        <w:tc>
          <w:tcPr>
            <w:tcW w:w="4681" w:type="pct"/>
            <w:shd w:val="clear" w:color="auto" w:fill="D9D9D9" w:themeFill="background1" w:themeFillShade="D9"/>
          </w:tcPr>
          <w:p w:rsidR="0078704B" w:rsidRPr="0036346B" w:rsidRDefault="0078704B" w:rsidP="004E4B07">
            <w:pPr>
              <w:rPr>
                <w:rFonts w:ascii="Arial Narrow" w:hAnsi="Arial Narrow"/>
                <w:b/>
                <w:i/>
                <w:iCs/>
                <w:sz w:val="20"/>
                <w:szCs w:val="20"/>
              </w:rPr>
            </w:pPr>
            <w:r w:rsidRPr="0036346B">
              <w:rPr>
                <w:rFonts w:ascii="Arial Narrow" w:hAnsi="Arial Narrow"/>
                <w:b/>
                <w:i/>
                <w:iCs/>
                <w:sz w:val="20"/>
                <w:szCs w:val="20"/>
              </w:rPr>
              <w:t>Community Engagement</w:t>
            </w:r>
            <w:r w:rsidR="00AA3E90" w:rsidRPr="0036346B">
              <w:rPr>
                <w:rFonts w:ascii="Arial Narrow" w:hAnsi="Arial Narrow"/>
                <w:b/>
                <w:i/>
                <w:iCs/>
                <w:sz w:val="20"/>
                <w:szCs w:val="20"/>
              </w:rPr>
              <w:t xml:space="preserve"> Goals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CE-1</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Include all units of the campus in the process of community engagement for the mutually beneficial exchange of knowledge and resources in a context of partnership and reciprocity. </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CE-2</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faculty, staff and student involvement in the Superior Edge program, academic service learning and other community engagement and leadership development initiatives. </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CE-3</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Put into action a commitment to be an inclusive community where differences are recognized as assets of the institution, respected attributes of the person and a valuable part of the university experience</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CE-4</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collaboration with local communities, schools, governments, development groups and other partners to enhance community and economic development in the Upper Peninsula. </w:t>
            </w:r>
          </w:p>
        </w:tc>
      </w:tr>
    </w:tbl>
    <w:p w:rsidR="008A22E4" w:rsidRPr="00E47E9A" w:rsidRDefault="008A22E4" w:rsidP="00E47E9A">
      <w:pPr>
        <w:rPr>
          <w:rFonts w:ascii="Arial Narrow" w:hAnsi="Arial Narrow"/>
        </w:rPr>
      </w:pPr>
    </w:p>
    <w:sectPr w:rsidR="008A22E4" w:rsidRPr="00E47E9A" w:rsidSect="00D60189">
      <w:endnotePr>
        <w:numFmt w:val="decimal"/>
      </w:endnotePr>
      <w:type w:val="continuous"/>
      <w:pgSz w:w="12240" w:h="15840" w:code="1"/>
      <w:pgMar w:top="720" w:right="720" w:bottom="1008" w:left="720" w:header="720" w:footer="6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F78" w:rsidRDefault="00945F78" w:rsidP="00CC0C16">
      <w:r>
        <w:separator/>
      </w:r>
    </w:p>
  </w:endnote>
  <w:endnote w:type="continuationSeparator" w:id="0">
    <w:p w:rsidR="00945F78" w:rsidRDefault="00945F78" w:rsidP="00CC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FB7" w:rsidRPr="00216099" w:rsidRDefault="00DA6FB7" w:rsidP="00557FAC">
    <w:pPr>
      <w:pStyle w:val="Footer"/>
      <w:pBdr>
        <w:top w:val="single" w:sz="4" w:space="1" w:color="auto"/>
      </w:pBdr>
      <w:spacing w:before="120"/>
    </w:pPr>
    <w:r w:rsidRPr="00557FAC">
      <w:rPr>
        <w:rFonts w:asciiTheme="minorHAnsi" w:hAnsiTheme="minorHAnsi" w:cstheme="minorHAnsi"/>
        <w:sz w:val="16"/>
      </w:rPr>
      <w:t xml:space="preserve">Service </w:t>
    </w:r>
    <w:r>
      <w:rPr>
        <w:rFonts w:asciiTheme="minorHAnsi" w:hAnsiTheme="minorHAnsi" w:cstheme="minorHAnsi"/>
        <w:sz w:val="16"/>
      </w:rPr>
      <w:t xml:space="preserve">Unit </w:t>
    </w:r>
    <w:r w:rsidRPr="00557FAC">
      <w:rPr>
        <w:rFonts w:asciiTheme="minorHAnsi" w:hAnsiTheme="minorHAnsi" w:cstheme="minorHAnsi"/>
        <w:sz w:val="16"/>
      </w:rPr>
      <w:t xml:space="preserve">Outcomes Assessment Plan/Report form effective June 2011.  Available at </w:t>
    </w:r>
    <w:hyperlink r:id="rId1" w:history="1">
      <w:r w:rsidRPr="00CE48D8">
        <w:rPr>
          <w:rStyle w:val="Hyperlink"/>
          <w:rFonts w:asciiTheme="minorHAnsi" w:hAnsiTheme="minorHAnsi" w:cstheme="minorHAnsi"/>
          <w:sz w:val="16"/>
        </w:rPr>
        <w:t>www.nmu.edu/aqip</w:t>
      </w:r>
    </w:hyperlink>
    <w:r w:rsidRPr="00557FAC">
      <w:rPr>
        <w:rFonts w:asciiTheme="minorHAnsi" w:hAnsiTheme="minorHAnsi" w:cstheme="minorHAnsi"/>
        <w:sz w:val="16"/>
      </w:rPr>
      <w:t>.</w:t>
    </w:r>
    <w:r>
      <w:rPr>
        <w:rFonts w:asciiTheme="minorHAnsi" w:hAnsiTheme="minorHAnsi" w:cstheme="minorHAnsi"/>
        <w:sz w:val="16"/>
      </w:rPr>
      <w:tab/>
    </w:r>
    <w:r>
      <w:rPr>
        <w:rFonts w:asciiTheme="minorHAnsi" w:hAnsiTheme="minorHAnsi" w:cstheme="minorHAnsi"/>
        <w:sz w:val="16"/>
      </w:rPr>
      <w:tab/>
    </w:r>
    <w:sdt>
      <w:sdtPr>
        <w:rPr>
          <w:rFonts w:asciiTheme="minorHAnsi" w:hAnsiTheme="minorHAnsi" w:cstheme="minorHAnsi"/>
          <w:sz w:val="18"/>
        </w:rPr>
        <w:id w:val="13760131"/>
        <w:docPartObj>
          <w:docPartGallery w:val="Page Numbers (Bottom of Page)"/>
          <w:docPartUnique/>
        </w:docPartObj>
      </w:sdtPr>
      <w:sdtEndPr/>
      <w:sdtContent>
        <w:r w:rsidR="00483ED0" w:rsidRPr="004304D6">
          <w:rPr>
            <w:rFonts w:asciiTheme="minorHAnsi" w:hAnsiTheme="minorHAnsi" w:cstheme="minorHAnsi"/>
            <w:sz w:val="18"/>
          </w:rPr>
          <w:fldChar w:fldCharType="begin"/>
        </w:r>
        <w:r w:rsidRPr="004304D6">
          <w:rPr>
            <w:rFonts w:asciiTheme="minorHAnsi" w:hAnsiTheme="minorHAnsi" w:cstheme="minorHAnsi"/>
            <w:sz w:val="18"/>
          </w:rPr>
          <w:instrText xml:space="preserve"> PAGE   \* MERGEFORMAT </w:instrText>
        </w:r>
        <w:r w:rsidR="00483ED0" w:rsidRPr="004304D6">
          <w:rPr>
            <w:rFonts w:asciiTheme="minorHAnsi" w:hAnsiTheme="minorHAnsi" w:cstheme="minorHAnsi"/>
            <w:sz w:val="18"/>
          </w:rPr>
          <w:fldChar w:fldCharType="separate"/>
        </w:r>
        <w:r w:rsidR="00E36934">
          <w:rPr>
            <w:rFonts w:asciiTheme="minorHAnsi" w:hAnsiTheme="minorHAnsi" w:cstheme="minorHAnsi"/>
            <w:noProof/>
            <w:sz w:val="18"/>
          </w:rPr>
          <w:t>1</w:t>
        </w:r>
        <w:r w:rsidR="00483ED0" w:rsidRPr="004304D6">
          <w:rPr>
            <w:rFonts w:asciiTheme="minorHAnsi" w:hAnsiTheme="minorHAnsi" w:cstheme="minorHAnsi"/>
            <w:sz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F78" w:rsidRDefault="00945F78" w:rsidP="00CC0C16">
      <w:r>
        <w:separator/>
      </w:r>
    </w:p>
  </w:footnote>
  <w:footnote w:type="continuationSeparator" w:id="0">
    <w:p w:rsidR="00945F78" w:rsidRDefault="00945F78" w:rsidP="00CC0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575AA"/>
    <w:multiLevelType w:val="hybridMultilevel"/>
    <w:tmpl w:val="9EE89E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EE2"/>
    <w:rsid w:val="000007D5"/>
    <w:rsid w:val="00003E07"/>
    <w:rsid w:val="00004C74"/>
    <w:rsid w:val="00007312"/>
    <w:rsid w:val="00007735"/>
    <w:rsid w:val="000078A3"/>
    <w:rsid w:val="00010091"/>
    <w:rsid w:val="00012AFE"/>
    <w:rsid w:val="00013F2D"/>
    <w:rsid w:val="00016D7E"/>
    <w:rsid w:val="000178FE"/>
    <w:rsid w:val="00020ECD"/>
    <w:rsid w:val="000224FB"/>
    <w:rsid w:val="000240EB"/>
    <w:rsid w:val="0002583F"/>
    <w:rsid w:val="00025A0E"/>
    <w:rsid w:val="00026C89"/>
    <w:rsid w:val="00031419"/>
    <w:rsid w:val="0003251C"/>
    <w:rsid w:val="00033039"/>
    <w:rsid w:val="00034ED8"/>
    <w:rsid w:val="00035CA1"/>
    <w:rsid w:val="0003637B"/>
    <w:rsid w:val="00037B33"/>
    <w:rsid w:val="00040080"/>
    <w:rsid w:val="000402C4"/>
    <w:rsid w:val="00041C02"/>
    <w:rsid w:val="00042660"/>
    <w:rsid w:val="00042D17"/>
    <w:rsid w:val="00043406"/>
    <w:rsid w:val="000440AE"/>
    <w:rsid w:val="00052A77"/>
    <w:rsid w:val="00053612"/>
    <w:rsid w:val="00055727"/>
    <w:rsid w:val="00055B6F"/>
    <w:rsid w:val="00056933"/>
    <w:rsid w:val="000619E2"/>
    <w:rsid w:val="0006398F"/>
    <w:rsid w:val="00064A62"/>
    <w:rsid w:val="00064AEB"/>
    <w:rsid w:val="00064B02"/>
    <w:rsid w:val="00065F49"/>
    <w:rsid w:val="000660F5"/>
    <w:rsid w:val="000715A0"/>
    <w:rsid w:val="0007255E"/>
    <w:rsid w:val="00073005"/>
    <w:rsid w:val="00073251"/>
    <w:rsid w:val="00074C5D"/>
    <w:rsid w:val="00075AAF"/>
    <w:rsid w:val="000760CB"/>
    <w:rsid w:val="00076E8C"/>
    <w:rsid w:val="000779A8"/>
    <w:rsid w:val="000814F2"/>
    <w:rsid w:val="00081D7D"/>
    <w:rsid w:val="000837E0"/>
    <w:rsid w:val="00083C63"/>
    <w:rsid w:val="000847AD"/>
    <w:rsid w:val="00087950"/>
    <w:rsid w:val="00087E45"/>
    <w:rsid w:val="00090EC6"/>
    <w:rsid w:val="00090FC9"/>
    <w:rsid w:val="00092702"/>
    <w:rsid w:val="000927BA"/>
    <w:rsid w:val="00093836"/>
    <w:rsid w:val="000941DA"/>
    <w:rsid w:val="00095613"/>
    <w:rsid w:val="00095C1A"/>
    <w:rsid w:val="000975FA"/>
    <w:rsid w:val="000A1CAE"/>
    <w:rsid w:val="000A312E"/>
    <w:rsid w:val="000A31AA"/>
    <w:rsid w:val="000A3375"/>
    <w:rsid w:val="000B004B"/>
    <w:rsid w:val="000B0A9B"/>
    <w:rsid w:val="000B0EDD"/>
    <w:rsid w:val="000B575E"/>
    <w:rsid w:val="000C50CD"/>
    <w:rsid w:val="000C6424"/>
    <w:rsid w:val="000D1416"/>
    <w:rsid w:val="000D2517"/>
    <w:rsid w:val="000D408B"/>
    <w:rsid w:val="000D4470"/>
    <w:rsid w:val="000D5895"/>
    <w:rsid w:val="000E07DF"/>
    <w:rsid w:val="000E345B"/>
    <w:rsid w:val="000E4173"/>
    <w:rsid w:val="000E59ED"/>
    <w:rsid w:val="000F46D5"/>
    <w:rsid w:val="000F4EA1"/>
    <w:rsid w:val="000F7E47"/>
    <w:rsid w:val="000F7F86"/>
    <w:rsid w:val="00101B17"/>
    <w:rsid w:val="00102659"/>
    <w:rsid w:val="0010312E"/>
    <w:rsid w:val="00103808"/>
    <w:rsid w:val="001047D1"/>
    <w:rsid w:val="001117E7"/>
    <w:rsid w:val="00111CD1"/>
    <w:rsid w:val="00111FBE"/>
    <w:rsid w:val="00114314"/>
    <w:rsid w:val="00120E26"/>
    <w:rsid w:val="001223F5"/>
    <w:rsid w:val="00122E20"/>
    <w:rsid w:val="001269A6"/>
    <w:rsid w:val="00127D44"/>
    <w:rsid w:val="001306EF"/>
    <w:rsid w:val="0013386D"/>
    <w:rsid w:val="0013440D"/>
    <w:rsid w:val="00135AB5"/>
    <w:rsid w:val="00145B52"/>
    <w:rsid w:val="00147A8B"/>
    <w:rsid w:val="00150FEA"/>
    <w:rsid w:val="00151A58"/>
    <w:rsid w:val="00152612"/>
    <w:rsid w:val="0015368E"/>
    <w:rsid w:val="0015507F"/>
    <w:rsid w:val="00156EBF"/>
    <w:rsid w:val="00160CCD"/>
    <w:rsid w:val="00162B5F"/>
    <w:rsid w:val="00162CCC"/>
    <w:rsid w:val="00171CB6"/>
    <w:rsid w:val="00176F16"/>
    <w:rsid w:val="0017721E"/>
    <w:rsid w:val="00180BDD"/>
    <w:rsid w:val="001813C9"/>
    <w:rsid w:val="001823C9"/>
    <w:rsid w:val="00183A5A"/>
    <w:rsid w:val="00185B5C"/>
    <w:rsid w:val="00187CC5"/>
    <w:rsid w:val="00191BD5"/>
    <w:rsid w:val="001924E0"/>
    <w:rsid w:val="00196515"/>
    <w:rsid w:val="001A47EF"/>
    <w:rsid w:val="001A4B52"/>
    <w:rsid w:val="001A602F"/>
    <w:rsid w:val="001A6BFB"/>
    <w:rsid w:val="001A6E28"/>
    <w:rsid w:val="001B0A85"/>
    <w:rsid w:val="001B0CC6"/>
    <w:rsid w:val="001B109D"/>
    <w:rsid w:val="001B1672"/>
    <w:rsid w:val="001B1F46"/>
    <w:rsid w:val="001B22D2"/>
    <w:rsid w:val="001B5322"/>
    <w:rsid w:val="001B5F99"/>
    <w:rsid w:val="001B6CDF"/>
    <w:rsid w:val="001B7074"/>
    <w:rsid w:val="001C01BC"/>
    <w:rsid w:val="001C231C"/>
    <w:rsid w:val="001C7FD7"/>
    <w:rsid w:val="001D118A"/>
    <w:rsid w:val="001D36F0"/>
    <w:rsid w:val="001D38AF"/>
    <w:rsid w:val="001D7D48"/>
    <w:rsid w:val="001E049B"/>
    <w:rsid w:val="001E3B7F"/>
    <w:rsid w:val="001E41B1"/>
    <w:rsid w:val="001E51BE"/>
    <w:rsid w:val="001E629E"/>
    <w:rsid w:val="001F1972"/>
    <w:rsid w:val="001F2024"/>
    <w:rsid w:val="001F2255"/>
    <w:rsid w:val="001F506D"/>
    <w:rsid w:val="001F68D7"/>
    <w:rsid w:val="0020121C"/>
    <w:rsid w:val="002054DB"/>
    <w:rsid w:val="00205BB1"/>
    <w:rsid w:val="0020661D"/>
    <w:rsid w:val="0021081E"/>
    <w:rsid w:val="00213420"/>
    <w:rsid w:val="00213E08"/>
    <w:rsid w:val="0021587E"/>
    <w:rsid w:val="00216099"/>
    <w:rsid w:val="00220B53"/>
    <w:rsid w:val="00224B06"/>
    <w:rsid w:val="0022578E"/>
    <w:rsid w:val="0022645F"/>
    <w:rsid w:val="00226812"/>
    <w:rsid w:val="0023039B"/>
    <w:rsid w:val="00230633"/>
    <w:rsid w:val="00233A8E"/>
    <w:rsid w:val="002364F5"/>
    <w:rsid w:val="002410D9"/>
    <w:rsid w:val="00241954"/>
    <w:rsid w:val="002455AD"/>
    <w:rsid w:val="0024649D"/>
    <w:rsid w:val="00250577"/>
    <w:rsid w:val="00251408"/>
    <w:rsid w:val="00251C65"/>
    <w:rsid w:val="00254735"/>
    <w:rsid w:val="00256E9D"/>
    <w:rsid w:val="002618CE"/>
    <w:rsid w:val="0026340A"/>
    <w:rsid w:val="002705E4"/>
    <w:rsid w:val="00280A8A"/>
    <w:rsid w:val="002870AD"/>
    <w:rsid w:val="00290286"/>
    <w:rsid w:val="00293D52"/>
    <w:rsid w:val="00293E56"/>
    <w:rsid w:val="00293EAF"/>
    <w:rsid w:val="0029764D"/>
    <w:rsid w:val="002A0346"/>
    <w:rsid w:val="002A057F"/>
    <w:rsid w:val="002A4925"/>
    <w:rsid w:val="002B18E7"/>
    <w:rsid w:val="002B3382"/>
    <w:rsid w:val="002B48E6"/>
    <w:rsid w:val="002B576E"/>
    <w:rsid w:val="002C06C1"/>
    <w:rsid w:val="002C0E0F"/>
    <w:rsid w:val="002C2316"/>
    <w:rsid w:val="002C2BC2"/>
    <w:rsid w:val="002C4C16"/>
    <w:rsid w:val="002C7459"/>
    <w:rsid w:val="002C7EB1"/>
    <w:rsid w:val="002D55D1"/>
    <w:rsid w:val="002D652F"/>
    <w:rsid w:val="002D7DC2"/>
    <w:rsid w:val="002E04BB"/>
    <w:rsid w:val="002E096B"/>
    <w:rsid w:val="002E10A5"/>
    <w:rsid w:val="002E1E46"/>
    <w:rsid w:val="002E23C0"/>
    <w:rsid w:val="002E2845"/>
    <w:rsid w:val="002E78A1"/>
    <w:rsid w:val="002F03FA"/>
    <w:rsid w:val="002F485C"/>
    <w:rsid w:val="002F4C6A"/>
    <w:rsid w:val="002F58FF"/>
    <w:rsid w:val="002F7AC7"/>
    <w:rsid w:val="0030758B"/>
    <w:rsid w:val="00307CCC"/>
    <w:rsid w:val="00310465"/>
    <w:rsid w:val="003135F6"/>
    <w:rsid w:val="0031685E"/>
    <w:rsid w:val="00320851"/>
    <w:rsid w:val="00320C35"/>
    <w:rsid w:val="00323443"/>
    <w:rsid w:val="003345BC"/>
    <w:rsid w:val="00334B06"/>
    <w:rsid w:val="00335937"/>
    <w:rsid w:val="00340319"/>
    <w:rsid w:val="00340D73"/>
    <w:rsid w:val="003411F0"/>
    <w:rsid w:val="00341B7C"/>
    <w:rsid w:val="003471CC"/>
    <w:rsid w:val="00347C3B"/>
    <w:rsid w:val="00347D86"/>
    <w:rsid w:val="003508DE"/>
    <w:rsid w:val="003607E7"/>
    <w:rsid w:val="00360900"/>
    <w:rsid w:val="0036346B"/>
    <w:rsid w:val="00363ECF"/>
    <w:rsid w:val="0036417C"/>
    <w:rsid w:val="00365A21"/>
    <w:rsid w:val="00366C3F"/>
    <w:rsid w:val="00370A4D"/>
    <w:rsid w:val="00372463"/>
    <w:rsid w:val="00372E96"/>
    <w:rsid w:val="0037304C"/>
    <w:rsid w:val="00373134"/>
    <w:rsid w:val="00380E30"/>
    <w:rsid w:val="00381318"/>
    <w:rsid w:val="00381ACA"/>
    <w:rsid w:val="00384652"/>
    <w:rsid w:val="00384D96"/>
    <w:rsid w:val="00387E35"/>
    <w:rsid w:val="003900DB"/>
    <w:rsid w:val="00390636"/>
    <w:rsid w:val="00396495"/>
    <w:rsid w:val="00396DE9"/>
    <w:rsid w:val="00397BC7"/>
    <w:rsid w:val="003A1953"/>
    <w:rsid w:val="003A1A92"/>
    <w:rsid w:val="003A1DE2"/>
    <w:rsid w:val="003A3C24"/>
    <w:rsid w:val="003A4797"/>
    <w:rsid w:val="003B0459"/>
    <w:rsid w:val="003B1074"/>
    <w:rsid w:val="003B6820"/>
    <w:rsid w:val="003C0AD4"/>
    <w:rsid w:val="003C228C"/>
    <w:rsid w:val="003C30AF"/>
    <w:rsid w:val="003C40D1"/>
    <w:rsid w:val="003C4A9E"/>
    <w:rsid w:val="003C6E9A"/>
    <w:rsid w:val="003D0610"/>
    <w:rsid w:val="003D23EC"/>
    <w:rsid w:val="003D24CA"/>
    <w:rsid w:val="003D3D22"/>
    <w:rsid w:val="003D4673"/>
    <w:rsid w:val="003D5B67"/>
    <w:rsid w:val="003D7A4A"/>
    <w:rsid w:val="003D7AD7"/>
    <w:rsid w:val="003E19D4"/>
    <w:rsid w:val="003E1AD6"/>
    <w:rsid w:val="003E21E5"/>
    <w:rsid w:val="003E26B4"/>
    <w:rsid w:val="003E28CC"/>
    <w:rsid w:val="003E2AF2"/>
    <w:rsid w:val="003E5A80"/>
    <w:rsid w:val="003E7BE3"/>
    <w:rsid w:val="003F0852"/>
    <w:rsid w:val="003F1023"/>
    <w:rsid w:val="003F34ED"/>
    <w:rsid w:val="003F4410"/>
    <w:rsid w:val="003F47E0"/>
    <w:rsid w:val="003F7CFB"/>
    <w:rsid w:val="00401D69"/>
    <w:rsid w:val="00402BE5"/>
    <w:rsid w:val="004034A8"/>
    <w:rsid w:val="004041F3"/>
    <w:rsid w:val="00404A58"/>
    <w:rsid w:val="004065AE"/>
    <w:rsid w:val="00406ABA"/>
    <w:rsid w:val="00410D1F"/>
    <w:rsid w:val="004111E1"/>
    <w:rsid w:val="00411CF1"/>
    <w:rsid w:val="0041682B"/>
    <w:rsid w:val="0041755F"/>
    <w:rsid w:val="00420919"/>
    <w:rsid w:val="0042117D"/>
    <w:rsid w:val="0042273D"/>
    <w:rsid w:val="00424004"/>
    <w:rsid w:val="00424B6E"/>
    <w:rsid w:val="00425D05"/>
    <w:rsid w:val="00426286"/>
    <w:rsid w:val="0043047A"/>
    <w:rsid w:val="004304D6"/>
    <w:rsid w:val="00431FB0"/>
    <w:rsid w:val="00432B8C"/>
    <w:rsid w:val="0043303F"/>
    <w:rsid w:val="004340C3"/>
    <w:rsid w:val="00440661"/>
    <w:rsid w:val="0044287A"/>
    <w:rsid w:val="00442A69"/>
    <w:rsid w:val="0044335F"/>
    <w:rsid w:val="00443B8F"/>
    <w:rsid w:val="004452EA"/>
    <w:rsid w:val="00452A50"/>
    <w:rsid w:val="00452A87"/>
    <w:rsid w:val="00452F14"/>
    <w:rsid w:val="00453FB0"/>
    <w:rsid w:val="00454167"/>
    <w:rsid w:val="004547F6"/>
    <w:rsid w:val="00455BDA"/>
    <w:rsid w:val="00456DE6"/>
    <w:rsid w:val="00460F24"/>
    <w:rsid w:val="00462DCF"/>
    <w:rsid w:val="00467ED3"/>
    <w:rsid w:val="00473418"/>
    <w:rsid w:val="00473BB8"/>
    <w:rsid w:val="00477554"/>
    <w:rsid w:val="00480452"/>
    <w:rsid w:val="004817CF"/>
    <w:rsid w:val="0048195A"/>
    <w:rsid w:val="00482000"/>
    <w:rsid w:val="00483B9F"/>
    <w:rsid w:val="00483ED0"/>
    <w:rsid w:val="00484A71"/>
    <w:rsid w:val="00486740"/>
    <w:rsid w:val="004875C2"/>
    <w:rsid w:val="004900A1"/>
    <w:rsid w:val="00490689"/>
    <w:rsid w:val="004928DE"/>
    <w:rsid w:val="00494EDF"/>
    <w:rsid w:val="00494F25"/>
    <w:rsid w:val="00495EB6"/>
    <w:rsid w:val="00496E3D"/>
    <w:rsid w:val="004A1C5C"/>
    <w:rsid w:val="004A22FE"/>
    <w:rsid w:val="004A2A6D"/>
    <w:rsid w:val="004A32BB"/>
    <w:rsid w:val="004A4C2C"/>
    <w:rsid w:val="004A743A"/>
    <w:rsid w:val="004B6A81"/>
    <w:rsid w:val="004B78C6"/>
    <w:rsid w:val="004C3ED5"/>
    <w:rsid w:val="004C7AFA"/>
    <w:rsid w:val="004D001C"/>
    <w:rsid w:val="004D495B"/>
    <w:rsid w:val="004E13D7"/>
    <w:rsid w:val="004E3D8D"/>
    <w:rsid w:val="004E4B07"/>
    <w:rsid w:val="004E6251"/>
    <w:rsid w:val="004F0437"/>
    <w:rsid w:val="004F2BE3"/>
    <w:rsid w:val="004F3527"/>
    <w:rsid w:val="004F41DB"/>
    <w:rsid w:val="004F77B9"/>
    <w:rsid w:val="004F7BA7"/>
    <w:rsid w:val="00500D78"/>
    <w:rsid w:val="00501FAE"/>
    <w:rsid w:val="00501FB6"/>
    <w:rsid w:val="00503217"/>
    <w:rsid w:val="00503C0B"/>
    <w:rsid w:val="005057C5"/>
    <w:rsid w:val="005065D0"/>
    <w:rsid w:val="00506BE1"/>
    <w:rsid w:val="00510029"/>
    <w:rsid w:val="005176F0"/>
    <w:rsid w:val="00517AA1"/>
    <w:rsid w:val="00523722"/>
    <w:rsid w:val="005249F2"/>
    <w:rsid w:val="005300F0"/>
    <w:rsid w:val="0053097D"/>
    <w:rsid w:val="00531A54"/>
    <w:rsid w:val="00531B83"/>
    <w:rsid w:val="00531BAF"/>
    <w:rsid w:val="00532043"/>
    <w:rsid w:val="0053374A"/>
    <w:rsid w:val="00533869"/>
    <w:rsid w:val="00541025"/>
    <w:rsid w:val="00542A6B"/>
    <w:rsid w:val="00543BF5"/>
    <w:rsid w:val="00544FBC"/>
    <w:rsid w:val="00547CA8"/>
    <w:rsid w:val="00551E88"/>
    <w:rsid w:val="00551F97"/>
    <w:rsid w:val="00552CE0"/>
    <w:rsid w:val="0055382F"/>
    <w:rsid w:val="00553B14"/>
    <w:rsid w:val="0055603A"/>
    <w:rsid w:val="005561B1"/>
    <w:rsid w:val="00557FAC"/>
    <w:rsid w:val="00560451"/>
    <w:rsid w:val="0056135C"/>
    <w:rsid w:val="00563BAE"/>
    <w:rsid w:val="0056463D"/>
    <w:rsid w:val="005703D3"/>
    <w:rsid w:val="00571D85"/>
    <w:rsid w:val="0057229E"/>
    <w:rsid w:val="00573D6A"/>
    <w:rsid w:val="00574013"/>
    <w:rsid w:val="005744E1"/>
    <w:rsid w:val="00574F32"/>
    <w:rsid w:val="0057624E"/>
    <w:rsid w:val="00577515"/>
    <w:rsid w:val="00580B21"/>
    <w:rsid w:val="00581635"/>
    <w:rsid w:val="00583BE4"/>
    <w:rsid w:val="00583DAA"/>
    <w:rsid w:val="00587722"/>
    <w:rsid w:val="00590761"/>
    <w:rsid w:val="005A0443"/>
    <w:rsid w:val="005A2C6A"/>
    <w:rsid w:val="005A2EB5"/>
    <w:rsid w:val="005A4FFD"/>
    <w:rsid w:val="005B03AA"/>
    <w:rsid w:val="005B12E4"/>
    <w:rsid w:val="005B21B6"/>
    <w:rsid w:val="005B36EB"/>
    <w:rsid w:val="005B416B"/>
    <w:rsid w:val="005B6044"/>
    <w:rsid w:val="005B721D"/>
    <w:rsid w:val="005B7C1A"/>
    <w:rsid w:val="005C0088"/>
    <w:rsid w:val="005C1161"/>
    <w:rsid w:val="005C2B4C"/>
    <w:rsid w:val="005C7222"/>
    <w:rsid w:val="005C7F7D"/>
    <w:rsid w:val="005D260C"/>
    <w:rsid w:val="005D388E"/>
    <w:rsid w:val="005D3998"/>
    <w:rsid w:val="005D5020"/>
    <w:rsid w:val="005D50EC"/>
    <w:rsid w:val="005D68B4"/>
    <w:rsid w:val="005D7634"/>
    <w:rsid w:val="005D7EAB"/>
    <w:rsid w:val="005E0F8A"/>
    <w:rsid w:val="005E158D"/>
    <w:rsid w:val="005E17DD"/>
    <w:rsid w:val="005E1E23"/>
    <w:rsid w:val="005E3ADB"/>
    <w:rsid w:val="005E4BBF"/>
    <w:rsid w:val="005E6BD9"/>
    <w:rsid w:val="005F2765"/>
    <w:rsid w:val="005F4912"/>
    <w:rsid w:val="00601891"/>
    <w:rsid w:val="006019B0"/>
    <w:rsid w:val="006021A0"/>
    <w:rsid w:val="00603497"/>
    <w:rsid w:val="00603FB2"/>
    <w:rsid w:val="0060443D"/>
    <w:rsid w:val="00605FDA"/>
    <w:rsid w:val="006068E2"/>
    <w:rsid w:val="00606A12"/>
    <w:rsid w:val="00606C8E"/>
    <w:rsid w:val="00613A44"/>
    <w:rsid w:val="00613EBA"/>
    <w:rsid w:val="00614A91"/>
    <w:rsid w:val="006233F9"/>
    <w:rsid w:val="0062447B"/>
    <w:rsid w:val="00624D61"/>
    <w:rsid w:val="00624E76"/>
    <w:rsid w:val="0062600E"/>
    <w:rsid w:val="00630B64"/>
    <w:rsid w:val="00633582"/>
    <w:rsid w:val="006355CF"/>
    <w:rsid w:val="00635759"/>
    <w:rsid w:val="00635D5D"/>
    <w:rsid w:val="00636C61"/>
    <w:rsid w:val="00636CD6"/>
    <w:rsid w:val="0063731B"/>
    <w:rsid w:val="00637F9C"/>
    <w:rsid w:val="00640CB7"/>
    <w:rsid w:val="00642189"/>
    <w:rsid w:val="00643110"/>
    <w:rsid w:val="0064401E"/>
    <w:rsid w:val="00644312"/>
    <w:rsid w:val="00645572"/>
    <w:rsid w:val="00645CBD"/>
    <w:rsid w:val="006467A0"/>
    <w:rsid w:val="00646FD9"/>
    <w:rsid w:val="00651C39"/>
    <w:rsid w:val="00654327"/>
    <w:rsid w:val="00655475"/>
    <w:rsid w:val="0065789A"/>
    <w:rsid w:val="006611FA"/>
    <w:rsid w:val="00661889"/>
    <w:rsid w:val="006639C1"/>
    <w:rsid w:val="00663FA2"/>
    <w:rsid w:val="0066455F"/>
    <w:rsid w:val="006670F1"/>
    <w:rsid w:val="0067140B"/>
    <w:rsid w:val="00672D37"/>
    <w:rsid w:val="00673D36"/>
    <w:rsid w:val="00673DA8"/>
    <w:rsid w:val="00674307"/>
    <w:rsid w:val="00674E94"/>
    <w:rsid w:val="00675142"/>
    <w:rsid w:val="00681063"/>
    <w:rsid w:val="006816B9"/>
    <w:rsid w:val="00681918"/>
    <w:rsid w:val="00682FC7"/>
    <w:rsid w:val="00686098"/>
    <w:rsid w:val="00686656"/>
    <w:rsid w:val="00687A13"/>
    <w:rsid w:val="00687B98"/>
    <w:rsid w:val="0069261B"/>
    <w:rsid w:val="00693A56"/>
    <w:rsid w:val="00694659"/>
    <w:rsid w:val="006977C8"/>
    <w:rsid w:val="006A0B3B"/>
    <w:rsid w:val="006A1B94"/>
    <w:rsid w:val="006A3E8D"/>
    <w:rsid w:val="006A409B"/>
    <w:rsid w:val="006A692D"/>
    <w:rsid w:val="006B01CD"/>
    <w:rsid w:val="006B05F1"/>
    <w:rsid w:val="006B06DC"/>
    <w:rsid w:val="006B13C3"/>
    <w:rsid w:val="006B2474"/>
    <w:rsid w:val="006B3C42"/>
    <w:rsid w:val="006B4052"/>
    <w:rsid w:val="006B4272"/>
    <w:rsid w:val="006B43A8"/>
    <w:rsid w:val="006B465B"/>
    <w:rsid w:val="006B481D"/>
    <w:rsid w:val="006B72E6"/>
    <w:rsid w:val="006C1E44"/>
    <w:rsid w:val="006C22DA"/>
    <w:rsid w:val="006C243E"/>
    <w:rsid w:val="006C42F2"/>
    <w:rsid w:val="006C5DB5"/>
    <w:rsid w:val="006C65A9"/>
    <w:rsid w:val="006D3A19"/>
    <w:rsid w:val="006D61CF"/>
    <w:rsid w:val="006E3A3F"/>
    <w:rsid w:val="006E40E8"/>
    <w:rsid w:val="006E60AF"/>
    <w:rsid w:val="006E7299"/>
    <w:rsid w:val="006E733E"/>
    <w:rsid w:val="006E7CBC"/>
    <w:rsid w:val="006F0452"/>
    <w:rsid w:val="006F19BC"/>
    <w:rsid w:val="006F3169"/>
    <w:rsid w:val="006F39E1"/>
    <w:rsid w:val="006F73D0"/>
    <w:rsid w:val="006F7CFC"/>
    <w:rsid w:val="00700408"/>
    <w:rsid w:val="00700601"/>
    <w:rsid w:val="007006F6"/>
    <w:rsid w:val="00700D20"/>
    <w:rsid w:val="0070148C"/>
    <w:rsid w:val="00702F4D"/>
    <w:rsid w:val="007073EA"/>
    <w:rsid w:val="0070787F"/>
    <w:rsid w:val="00710045"/>
    <w:rsid w:val="0071245D"/>
    <w:rsid w:val="00713F79"/>
    <w:rsid w:val="007153CA"/>
    <w:rsid w:val="00716A38"/>
    <w:rsid w:val="00722181"/>
    <w:rsid w:val="0072289A"/>
    <w:rsid w:val="007234B0"/>
    <w:rsid w:val="00723A66"/>
    <w:rsid w:val="00723CCD"/>
    <w:rsid w:val="0072628D"/>
    <w:rsid w:val="00731DB4"/>
    <w:rsid w:val="00735A0A"/>
    <w:rsid w:val="0074170F"/>
    <w:rsid w:val="007424DA"/>
    <w:rsid w:val="00742BBF"/>
    <w:rsid w:val="007477FE"/>
    <w:rsid w:val="0075067E"/>
    <w:rsid w:val="00750962"/>
    <w:rsid w:val="007518BD"/>
    <w:rsid w:val="007522B9"/>
    <w:rsid w:val="00760279"/>
    <w:rsid w:val="007615C0"/>
    <w:rsid w:val="00761DDE"/>
    <w:rsid w:val="00763FE7"/>
    <w:rsid w:val="00764A12"/>
    <w:rsid w:val="007675BA"/>
    <w:rsid w:val="00771950"/>
    <w:rsid w:val="007725D7"/>
    <w:rsid w:val="0077310B"/>
    <w:rsid w:val="0077366D"/>
    <w:rsid w:val="00773672"/>
    <w:rsid w:val="007744C1"/>
    <w:rsid w:val="007749A6"/>
    <w:rsid w:val="007754A4"/>
    <w:rsid w:val="0077589C"/>
    <w:rsid w:val="0077740A"/>
    <w:rsid w:val="00777FB8"/>
    <w:rsid w:val="0078216A"/>
    <w:rsid w:val="0078436A"/>
    <w:rsid w:val="00785978"/>
    <w:rsid w:val="00785F6C"/>
    <w:rsid w:val="0078704B"/>
    <w:rsid w:val="007879DC"/>
    <w:rsid w:val="00791FB9"/>
    <w:rsid w:val="0079261E"/>
    <w:rsid w:val="007931D0"/>
    <w:rsid w:val="00794E8D"/>
    <w:rsid w:val="00795AF5"/>
    <w:rsid w:val="007A08F0"/>
    <w:rsid w:val="007A0D4F"/>
    <w:rsid w:val="007A2AC2"/>
    <w:rsid w:val="007A4F3A"/>
    <w:rsid w:val="007A5A22"/>
    <w:rsid w:val="007A6A21"/>
    <w:rsid w:val="007B1CE2"/>
    <w:rsid w:val="007B4CDC"/>
    <w:rsid w:val="007B5BC5"/>
    <w:rsid w:val="007C0337"/>
    <w:rsid w:val="007C1147"/>
    <w:rsid w:val="007C19BC"/>
    <w:rsid w:val="007C1DF4"/>
    <w:rsid w:val="007C2E57"/>
    <w:rsid w:val="007C36CE"/>
    <w:rsid w:val="007C3D7F"/>
    <w:rsid w:val="007C420D"/>
    <w:rsid w:val="007C53D1"/>
    <w:rsid w:val="007C7670"/>
    <w:rsid w:val="007C7A58"/>
    <w:rsid w:val="007C7F89"/>
    <w:rsid w:val="007D1136"/>
    <w:rsid w:val="007D1BA6"/>
    <w:rsid w:val="007D2C63"/>
    <w:rsid w:val="007D497D"/>
    <w:rsid w:val="007D5BCB"/>
    <w:rsid w:val="007E37B9"/>
    <w:rsid w:val="007E7A2A"/>
    <w:rsid w:val="007F0985"/>
    <w:rsid w:val="007F1A51"/>
    <w:rsid w:val="007F376A"/>
    <w:rsid w:val="007F47D4"/>
    <w:rsid w:val="007F499A"/>
    <w:rsid w:val="007F50F9"/>
    <w:rsid w:val="007F6B2D"/>
    <w:rsid w:val="00800B33"/>
    <w:rsid w:val="00802A55"/>
    <w:rsid w:val="00804B1D"/>
    <w:rsid w:val="00806E1F"/>
    <w:rsid w:val="0080723F"/>
    <w:rsid w:val="0080752B"/>
    <w:rsid w:val="00817F9B"/>
    <w:rsid w:val="00823BD4"/>
    <w:rsid w:val="00824F9B"/>
    <w:rsid w:val="0083229F"/>
    <w:rsid w:val="008327CA"/>
    <w:rsid w:val="00833A57"/>
    <w:rsid w:val="008342E6"/>
    <w:rsid w:val="0084143E"/>
    <w:rsid w:val="00844E54"/>
    <w:rsid w:val="008467B8"/>
    <w:rsid w:val="00847006"/>
    <w:rsid w:val="00850188"/>
    <w:rsid w:val="008501A3"/>
    <w:rsid w:val="00851BF6"/>
    <w:rsid w:val="008524B5"/>
    <w:rsid w:val="008548F2"/>
    <w:rsid w:val="00854920"/>
    <w:rsid w:val="00856EF6"/>
    <w:rsid w:val="008601D7"/>
    <w:rsid w:val="008601F1"/>
    <w:rsid w:val="008622EE"/>
    <w:rsid w:val="00864CC7"/>
    <w:rsid w:val="008660DF"/>
    <w:rsid w:val="008700B9"/>
    <w:rsid w:val="008707B4"/>
    <w:rsid w:val="00871543"/>
    <w:rsid w:val="008752A6"/>
    <w:rsid w:val="00875E49"/>
    <w:rsid w:val="00880973"/>
    <w:rsid w:val="00880EC9"/>
    <w:rsid w:val="00881080"/>
    <w:rsid w:val="00890085"/>
    <w:rsid w:val="008901DC"/>
    <w:rsid w:val="0089114A"/>
    <w:rsid w:val="00891639"/>
    <w:rsid w:val="008918E9"/>
    <w:rsid w:val="008926C8"/>
    <w:rsid w:val="00893A6B"/>
    <w:rsid w:val="00894464"/>
    <w:rsid w:val="00895C56"/>
    <w:rsid w:val="00896DAF"/>
    <w:rsid w:val="00897C83"/>
    <w:rsid w:val="008A040C"/>
    <w:rsid w:val="008A143A"/>
    <w:rsid w:val="008A1E6D"/>
    <w:rsid w:val="008A22E4"/>
    <w:rsid w:val="008A2C17"/>
    <w:rsid w:val="008A3489"/>
    <w:rsid w:val="008A46A5"/>
    <w:rsid w:val="008A6602"/>
    <w:rsid w:val="008A7767"/>
    <w:rsid w:val="008B1549"/>
    <w:rsid w:val="008B166D"/>
    <w:rsid w:val="008B2BAC"/>
    <w:rsid w:val="008C2A85"/>
    <w:rsid w:val="008C4D41"/>
    <w:rsid w:val="008C6673"/>
    <w:rsid w:val="008D0ECC"/>
    <w:rsid w:val="008D1F73"/>
    <w:rsid w:val="008D55C9"/>
    <w:rsid w:val="008D68B4"/>
    <w:rsid w:val="008D7379"/>
    <w:rsid w:val="008D75FF"/>
    <w:rsid w:val="008E2EDA"/>
    <w:rsid w:val="008E4F37"/>
    <w:rsid w:val="008E52F9"/>
    <w:rsid w:val="008E5557"/>
    <w:rsid w:val="008E5D3D"/>
    <w:rsid w:val="008E69F0"/>
    <w:rsid w:val="008E722D"/>
    <w:rsid w:val="008F1898"/>
    <w:rsid w:val="008F2D2A"/>
    <w:rsid w:val="008F36C9"/>
    <w:rsid w:val="008F3E4B"/>
    <w:rsid w:val="008F4645"/>
    <w:rsid w:val="008F56DB"/>
    <w:rsid w:val="008F7818"/>
    <w:rsid w:val="009006EE"/>
    <w:rsid w:val="0090632B"/>
    <w:rsid w:val="009127C8"/>
    <w:rsid w:val="00915382"/>
    <w:rsid w:val="009175FC"/>
    <w:rsid w:val="00917F98"/>
    <w:rsid w:val="0092032F"/>
    <w:rsid w:val="00920F9D"/>
    <w:rsid w:val="00924250"/>
    <w:rsid w:val="00924C0E"/>
    <w:rsid w:val="009267EB"/>
    <w:rsid w:val="00927CD3"/>
    <w:rsid w:val="00927D53"/>
    <w:rsid w:val="00930AFF"/>
    <w:rsid w:val="00934BB8"/>
    <w:rsid w:val="00937457"/>
    <w:rsid w:val="00940375"/>
    <w:rsid w:val="00945678"/>
    <w:rsid w:val="00945EEF"/>
    <w:rsid w:val="00945F78"/>
    <w:rsid w:val="00947446"/>
    <w:rsid w:val="00952A20"/>
    <w:rsid w:val="00952C39"/>
    <w:rsid w:val="009551FE"/>
    <w:rsid w:val="00955A66"/>
    <w:rsid w:val="00957567"/>
    <w:rsid w:val="00957572"/>
    <w:rsid w:val="00960F8F"/>
    <w:rsid w:val="0096206D"/>
    <w:rsid w:val="009622E3"/>
    <w:rsid w:val="009644A0"/>
    <w:rsid w:val="00964B75"/>
    <w:rsid w:val="009654CD"/>
    <w:rsid w:val="00965F73"/>
    <w:rsid w:val="00967728"/>
    <w:rsid w:val="00967BF5"/>
    <w:rsid w:val="00971423"/>
    <w:rsid w:val="00972106"/>
    <w:rsid w:val="00972329"/>
    <w:rsid w:val="00973ECC"/>
    <w:rsid w:val="00974F4F"/>
    <w:rsid w:val="0097553B"/>
    <w:rsid w:val="00975728"/>
    <w:rsid w:val="00976C1A"/>
    <w:rsid w:val="00980092"/>
    <w:rsid w:val="00981107"/>
    <w:rsid w:val="009855EA"/>
    <w:rsid w:val="009860CD"/>
    <w:rsid w:val="00987770"/>
    <w:rsid w:val="00990F9A"/>
    <w:rsid w:val="009924ED"/>
    <w:rsid w:val="00993C74"/>
    <w:rsid w:val="00994185"/>
    <w:rsid w:val="0099569D"/>
    <w:rsid w:val="009956A5"/>
    <w:rsid w:val="00995BB8"/>
    <w:rsid w:val="009969E5"/>
    <w:rsid w:val="00997BF6"/>
    <w:rsid w:val="009A0D92"/>
    <w:rsid w:val="009A1150"/>
    <w:rsid w:val="009A2406"/>
    <w:rsid w:val="009A57B0"/>
    <w:rsid w:val="009A6357"/>
    <w:rsid w:val="009A6FE5"/>
    <w:rsid w:val="009B071B"/>
    <w:rsid w:val="009B1009"/>
    <w:rsid w:val="009B18C4"/>
    <w:rsid w:val="009B1E17"/>
    <w:rsid w:val="009B27A2"/>
    <w:rsid w:val="009B2F19"/>
    <w:rsid w:val="009B2F5A"/>
    <w:rsid w:val="009B2F75"/>
    <w:rsid w:val="009B31D4"/>
    <w:rsid w:val="009B776B"/>
    <w:rsid w:val="009B7DB0"/>
    <w:rsid w:val="009C0CA6"/>
    <w:rsid w:val="009C1776"/>
    <w:rsid w:val="009C50AB"/>
    <w:rsid w:val="009C5FF2"/>
    <w:rsid w:val="009C63BF"/>
    <w:rsid w:val="009C6678"/>
    <w:rsid w:val="009C6933"/>
    <w:rsid w:val="009C793E"/>
    <w:rsid w:val="009D1E7A"/>
    <w:rsid w:val="009D2646"/>
    <w:rsid w:val="009D2EB2"/>
    <w:rsid w:val="009E02FE"/>
    <w:rsid w:val="009E101D"/>
    <w:rsid w:val="009E1A4A"/>
    <w:rsid w:val="009E5680"/>
    <w:rsid w:val="009E63CB"/>
    <w:rsid w:val="009E6805"/>
    <w:rsid w:val="009F1052"/>
    <w:rsid w:val="009F33B0"/>
    <w:rsid w:val="009F3E8B"/>
    <w:rsid w:val="009F4381"/>
    <w:rsid w:val="009F4DCB"/>
    <w:rsid w:val="009F52BB"/>
    <w:rsid w:val="009F56FB"/>
    <w:rsid w:val="009F60CD"/>
    <w:rsid w:val="009F7622"/>
    <w:rsid w:val="009F7D7D"/>
    <w:rsid w:val="00A02A87"/>
    <w:rsid w:val="00A0384C"/>
    <w:rsid w:val="00A068FE"/>
    <w:rsid w:val="00A101B0"/>
    <w:rsid w:val="00A101D1"/>
    <w:rsid w:val="00A10F3E"/>
    <w:rsid w:val="00A12D35"/>
    <w:rsid w:val="00A12F1B"/>
    <w:rsid w:val="00A133E4"/>
    <w:rsid w:val="00A13B7B"/>
    <w:rsid w:val="00A156D7"/>
    <w:rsid w:val="00A2112E"/>
    <w:rsid w:val="00A24592"/>
    <w:rsid w:val="00A252D7"/>
    <w:rsid w:val="00A30BA0"/>
    <w:rsid w:val="00A3648E"/>
    <w:rsid w:val="00A41C64"/>
    <w:rsid w:val="00A42EB1"/>
    <w:rsid w:val="00A446C3"/>
    <w:rsid w:val="00A50AFB"/>
    <w:rsid w:val="00A51E7E"/>
    <w:rsid w:val="00A51F47"/>
    <w:rsid w:val="00A52F16"/>
    <w:rsid w:val="00A5480F"/>
    <w:rsid w:val="00A54DB3"/>
    <w:rsid w:val="00A55A88"/>
    <w:rsid w:val="00A57A00"/>
    <w:rsid w:val="00A601C7"/>
    <w:rsid w:val="00A6044F"/>
    <w:rsid w:val="00A6073D"/>
    <w:rsid w:val="00A61946"/>
    <w:rsid w:val="00A61DEA"/>
    <w:rsid w:val="00A6226A"/>
    <w:rsid w:val="00A626CB"/>
    <w:rsid w:val="00A65C10"/>
    <w:rsid w:val="00A65C34"/>
    <w:rsid w:val="00A707AE"/>
    <w:rsid w:val="00A732B1"/>
    <w:rsid w:val="00A74F33"/>
    <w:rsid w:val="00A75B7D"/>
    <w:rsid w:val="00A75C59"/>
    <w:rsid w:val="00A76BF6"/>
    <w:rsid w:val="00A77310"/>
    <w:rsid w:val="00A77AD3"/>
    <w:rsid w:val="00A83064"/>
    <w:rsid w:val="00A83C76"/>
    <w:rsid w:val="00A8433F"/>
    <w:rsid w:val="00A91115"/>
    <w:rsid w:val="00A93838"/>
    <w:rsid w:val="00A9395A"/>
    <w:rsid w:val="00A96825"/>
    <w:rsid w:val="00A9777C"/>
    <w:rsid w:val="00A97AD3"/>
    <w:rsid w:val="00A97CDD"/>
    <w:rsid w:val="00AA1DF9"/>
    <w:rsid w:val="00AA3E90"/>
    <w:rsid w:val="00AA459E"/>
    <w:rsid w:val="00AB18C9"/>
    <w:rsid w:val="00AB37A1"/>
    <w:rsid w:val="00AB4502"/>
    <w:rsid w:val="00AB6E90"/>
    <w:rsid w:val="00AB7747"/>
    <w:rsid w:val="00AC13E6"/>
    <w:rsid w:val="00AC4985"/>
    <w:rsid w:val="00AC4ED5"/>
    <w:rsid w:val="00AD0E1C"/>
    <w:rsid w:val="00AD40FD"/>
    <w:rsid w:val="00AD73B3"/>
    <w:rsid w:val="00AE075D"/>
    <w:rsid w:val="00AE09E6"/>
    <w:rsid w:val="00AE1E7B"/>
    <w:rsid w:val="00AE255E"/>
    <w:rsid w:val="00AF0515"/>
    <w:rsid w:val="00AF4FD5"/>
    <w:rsid w:val="00AF577B"/>
    <w:rsid w:val="00AF62FA"/>
    <w:rsid w:val="00B00A74"/>
    <w:rsid w:val="00B026A4"/>
    <w:rsid w:val="00B0342A"/>
    <w:rsid w:val="00B0424A"/>
    <w:rsid w:val="00B0491D"/>
    <w:rsid w:val="00B04929"/>
    <w:rsid w:val="00B06233"/>
    <w:rsid w:val="00B077B4"/>
    <w:rsid w:val="00B10ADC"/>
    <w:rsid w:val="00B14681"/>
    <w:rsid w:val="00B1475E"/>
    <w:rsid w:val="00B151EB"/>
    <w:rsid w:val="00B15930"/>
    <w:rsid w:val="00B17ADF"/>
    <w:rsid w:val="00B20489"/>
    <w:rsid w:val="00B213F2"/>
    <w:rsid w:val="00B216CF"/>
    <w:rsid w:val="00B22EE2"/>
    <w:rsid w:val="00B258EF"/>
    <w:rsid w:val="00B26254"/>
    <w:rsid w:val="00B334D2"/>
    <w:rsid w:val="00B33AE8"/>
    <w:rsid w:val="00B33C24"/>
    <w:rsid w:val="00B36E17"/>
    <w:rsid w:val="00B37CEF"/>
    <w:rsid w:val="00B40BA2"/>
    <w:rsid w:val="00B4467F"/>
    <w:rsid w:val="00B450C4"/>
    <w:rsid w:val="00B462A4"/>
    <w:rsid w:val="00B54F84"/>
    <w:rsid w:val="00B56497"/>
    <w:rsid w:val="00B56AF6"/>
    <w:rsid w:val="00B60EE2"/>
    <w:rsid w:val="00B61624"/>
    <w:rsid w:val="00B629CB"/>
    <w:rsid w:val="00B62A11"/>
    <w:rsid w:val="00B73EDE"/>
    <w:rsid w:val="00B80425"/>
    <w:rsid w:val="00B850BA"/>
    <w:rsid w:val="00B94DA6"/>
    <w:rsid w:val="00B95B97"/>
    <w:rsid w:val="00B9680F"/>
    <w:rsid w:val="00B97301"/>
    <w:rsid w:val="00BA03C0"/>
    <w:rsid w:val="00BA3B35"/>
    <w:rsid w:val="00BA6998"/>
    <w:rsid w:val="00BA6F9E"/>
    <w:rsid w:val="00BB131A"/>
    <w:rsid w:val="00BB29F9"/>
    <w:rsid w:val="00BB32E9"/>
    <w:rsid w:val="00BB52D2"/>
    <w:rsid w:val="00BB5E09"/>
    <w:rsid w:val="00BB5E10"/>
    <w:rsid w:val="00BC341B"/>
    <w:rsid w:val="00BC5EDF"/>
    <w:rsid w:val="00BC7347"/>
    <w:rsid w:val="00BC7DD7"/>
    <w:rsid w:val="00BD205E"/>
    <w:rsid w:val="00BD2BAC"/>
    <w:rsid w:val="00BD40DB"/>
    <w:rsid w:val="00BD5CFD"/>
    <w:rsid w:val="00BD5DD7"/>
    <w:rsid w:val="00BD5EA4"/>
    <w:rsid w:val="00BD7850"/>
    <w:rsid w:val="00BE1BAC"/>
    <w:rsid w:val="00BE38C1"/>
    <w:rsid w:val="00BE6BBA"/>
    <w:rsid w:val="00BE6D77"/>
    <w:rsid w:val="00BE6DA0"/>
    <w:rsid w:val="00BE7171"/>
    <w:rsid w:val="00BF0865"/>
    <w:rsid w:val="00BF25D6"/>
    <w:rsid w:val="00BF414E"/>
    <w:rsid w:val="00C012D6"/>
    <w:rsid w:val="00C03107"/>
    <w:rsid w:val="00C04495"/>
    <w:rsid w:val="00C06F47"/>
    <w:rsid w:val="00C0767D"/>
    <w:rsid w:val="00C11D95"/>
    <w:rsid w:val="00C11F27"/>
    <w:rsid w:val="00C1397F"/>
    <w:rsid w:val="00C14D63"/>
    <w:rsid w:val="00C151FF"/>
    <w:rsid w:val="00C2250E"/>
    <w:rsid w:val="00C23AF7"/>
    <w:rsid w:val="00C25DF6"/>
    <w:rsid w:val="00C32ACF"/>
    <w:rsid w:val="00C33725"/>
    <w:rsid w:val="00C33953"/>
    <w:rsid w:val="00C348AF"/>
    <w:rsid w:val="00C362B5"/>
    <w:rsid w:val="00C37646"/>
    <w:rsid w:val="00C37CD1"/>
    <w:rsid w:val="00C41D00"/>
    <w:rsid w:val="00C46F9A"/>
    <w:rsid w:val="00C50D30"/>
    <w:rsid w:val="00C510B7"/>
    <w:rsid w:val="00C527F9"/>
    <w:rsid w:val="00C52908"/>
    <w:rsid w:val="00C54CE7"/>
    <w:rsid w:val="00C553C4"/>
    <w:rsid w:val="00C60394"/>
    <w:rsid w:val="00C61578"/>
    <w:rsid w:val="00C61D37"/>
    <w:rsid w:val="00C63243"/>
    <w:rsid w:val="00C63454"/>
    <w:rsid w:val="00C67680"/>
    <w:rsid w:val="00C67834"/>
    <w:rsid w:val="00C72E5C"/>
    <w:rsid w:val="00C76CC7"/>
    <w:rsid w:val="00C77216"/>
    <w:rsid w:val="00C77F88"/>
    <w:rsid w:val="00C80086"/>
    <w:rsid w:val="00C80C41"/>
    <w:rsid w:val="00C81167"/>
    <w:rsid w:val="00C82D01"/>
    <w:rsid w:val="00C83656"/>
    <w:rsid w:val="00C849B1"/>
    <w:rsid w:val="00C92EED"/>
    <w:rsid w:val="00C93436"/>
    <w:rsid w:val="00C95771"/>
    <w:rsid w:val="00C959E6"/>
    <w:rsid w:val="00CA13E6"/>
    <w:rsid w:val="00CA2663"/>
    <w:rsid w:val="00CA5431"/>
    <w:rsid w:val="00CA72E5"/>
    <w:rsid w:val="00CA73FB"/>
    <w:rsid w:val="00CB0C73"/>
    <w:rsid w:val="00CB607B"/>
    <w:rsid w:val="00CC0C16"/>
    <w:rsid w:val="00CC0EBE"/>
    <w:rsid w:val="00CC14CF"/>
    <w:rsid w:val="00CC17F1"/>
    <w:rsid w:val="00CC1E3C"/>
    <w:rsid w:val="00CC511E"/>
    <w:rsid w:val="00CD0F76"/>
    <w:rsid w:val="00CD398E"/>
    <w:rsid w:val="00CD678C"/>
    <w:rsid w:val="00CE01D3"/>
    <w:rsid w:val="00CE049E"/>
    <w:rsid w:val="00CE0A36"/>
    <w:rsid w:val="00CE0F17"/>
    <w:rsid w:val="00CE1FF6"/>
    <w:rsid w:val="00CE2126"/>
    <w:rsid w:val="00CE272D"/>
    <w:rsid w:val="00CE34F1"/>
    <w:rsid w:val="00CE355E"/>
    <w:rsid w:val="00CE3DBF"/>
    <w:rsid w:val="00CE7390"/>
    <w:rsid w:val="00CE7747"/>
    <w:rsid w:val="00CF0339"/>
    <w:rsid w:val="00CF097D"/>
    <w:rsid w:val="00CF1AF2"/>
    <w:rsid w:val="00CF241B"/>
    <w:rsid w:val="00CF29D1"/>
    <w:rsid w:val="00CF2B5A"/>
    <w:rsid w:val="00CF2E77"/>
    <w:rsid w:val="00CF2F7E"/>
    <w:rsid w:val="00CF3DE1"/>
    <w:rsid w:val="00CF4F16"/>
    <w:rsid w:val="00D002C1"/>
    <w:rsid w:val="00D0036E"/>
    <w:rsid w:val="00D014DF"/>
    <w:rsid w:val="00D01811"/>
    <w:rsid w:val="00D02409"/>
    <w:rsid w:val="00D02949"/>
    <w:rsid w:val="00D02F93"/>
    <w:rsid w:val="00D03830"/>
    <w:rsid w:val="00D05BEC"/>
    <w:rsid w:val="00D05D9C"/>
    <w:rsid w:val="00D0636B"/>
    <w:rsid w:val="00D070C9"/>
    <w:rsid w:val="00D07F86"/>
    <w:rsid w:val="00D11400"/>
    <w:rsid w:val="00D1232B"/>
    <w:rsid w:val="00D125D8"/>
    <w:rsid w:val="00D12AB1"/>
    <w:rsid w:val="00D15659"/>
    <w:rsid w:val="00D15D6C"/>
    <w:rsid w:val="00D218BB"/>
    <w:rsid w:val="00D2331A"/>
    <w:rsid w:val="00D23320"/>
    <w:rsid w:val="00D2796A"/>
    <w:rsid w:val="00D31BC4"/>
    <w:rsid w:val="00D36E25"/>
    <w:rsid w:val="00D427AA"/>
    <w:rsid w:val="00D465BC"/>
    <w:rsid w:val="00D524D8"/>
    <w:rsid w:val="00D52614"/>
    <w:rsid w:val="00D544F2"/>
    <w:rsid w:val="00D546C7"/>
    <w:rsid w:val="00D552BB"/>
    <w:rsid w:val="00D60189"/>
    <w:rsid w:val="00D60577"/>
    <w:rsid w:val="00D63933"/>
    <w:rsid w:val="00D65191"/>
    <w:rsid w:val="00D65556"/>
    <w:rsid w:val="00D67DCF"/>
    <w:rsid w:val="00D71B2E"/>
    <w:rsid w:val="00D7395A"/>
    <w:rsid w:val="00D73B9B"/>
    <w:rsid w:val="00D80331"/>
    <w:rsid w:val="00D81B34"/>
    <w:rsid w:val="00D83182"/>
    <w:rsid w:val="00D84DDE"/>
    <w:rsid w:val="00D84E59"/>
    <w:rsid w:val="00D85862"/>
    <w:rsid w:val="00D85B8A"/>
    <w:rsid w:val="00D901F3"/>
    <w:rsid w:val="00D93076"/>
    <w:rsid w:val="00D9337C"/>
    <w:rsid w:val="00D95B04"/>
    <w:rsid w:val="00D95C56"/>
    <w:rsid w:val="00D964D8"/>
    <w:rsid w:val="00D977D6"/>
    <w:rsid w:val="00DA1D00"/>
    <w:rsid w:val="00DA586B"/>
    <w:rsid w:val="00DA6D7E"/>
    <w:rsid w:val="00DA6FB7"/>
    <w:rsid w:val="00DA76B9"/>
    <w:rsid w:val="00DA7BC5"/>
    <w:rsid w:val="00DB2706"/>
    <w:rsid w:val="00DB465C"/>
    <w:rsid w:val="00DB5164"/>
    <w:rsid w:val="00DB5C6F"/>
    <w:rsid w:val="00DB7FB8"/>
    <w:rsid w:val="00DC19D6"/>
    <w:rsid w:val="00DC2015"/>
    <w:rsid w:val="00DC5BD8"/>
    <w:rsid w:val="00DC6260"/>
    <w:rsid w:val="00DC688A"/>
    <w:rsid w:val="00DC77ED"/>
    <w:rsid w:val="00DD22D3"/>
    <w:rsid w:val="00DD2389"/>
    <w:rsid w:val="00DD7485"/>
    <w:rsid w:val="00DE3455"/>
    <w:rsid w:val="00DE3587"/>
    <w:rsid w:val="00DE521B"/>
    <w:rsid w:val="00DF07BD"/>
    <w:rsid w:val="00DF2755"/>
    <w:rsid w:val="00DF3E56"/>
    <w:rsid w:val="00DF4092"/>
    <w:rsid w:val="00E00B7B"/>
    <w:rsid w:val="00E01F67"/>
    <w:rsid w:val="00E02910"/>
    <w:rsid w:val="00E03BC2"/>
    <w:rsid w:val="00E03E1C"/>
    <w:rsid w:val="00E06BC8"/>
    <w:rsid w:val="00E077AB"/>
    <w:rsid w:val="00E10580"/>
    <w:rsid w:val="00E12D95"/>
    <w:rsid w:val="00E16B72"/>
    <w:rsid w:val="00E1706C"/>
    <w:rsid w:val="00E24C54"/>
    <w:rsid w:val="00E31093"/>
    <w:rsid w:val="00E3117F"/>
    <w:rsid w:val="00E346BB"/>
    <w:rsid w:val="00E365DF"/>
    <w:rsid w:val="00E36934"/>
    <w:rsid w:val="00E36FC2"/>
    <w:rsid w:val="00E40ECF"/>
    <w:rsid w:val="00E43352"/>
    <w:rsid w:val="00E46369"/>
    <w:rsid w:val="00E47247"/>
    <w:rsid w:val="00E4737B"/>
    <w:rsid w:val="00E47E9A"/>
    <w:rsid w:val="00E51C2C"/>
    <w:rsid w:val="00E54549"/>
    <w:rsid w:val="00E54FC2"/>
    <w:rsid w:val="00E55E02"/>
    <w:rsid w:val="00E56D2B"/>
    <w:rsid w:val="00E56EE8"/>
    <w:rsid w:val="00E6004D"/>
    <w:rsid w:val="00E60A17"/>
    <w:rsid w:val="00E60C02"/>
    <w:rsid w:val="00E63F97"/>
    <w:rsid w:val="00E64E6E"/>
    <w:rsid w:val="00E72C43"/>
    <w:rsid w:val="00E7594A"/>
    <w:rsid w:val="00E76F31"/>
    <w:rsid w:val="00E81160"/>
    <w:rsid w:val="00E84436"/>
    <w:rsid w:val="00E845B4"/>
    <w:rsid w:val="00E8557B"/>
    <w:rsid w:val="00E90162"/>
    <w:rsid w:val="00E9210A"/>
    <w:rsid w:val="00E9454C"/>
    <w:rsid w:val="00E951FD"/>
    <w:rsid w:val="00EA19AB"/>
    <w:rsid w:val="00EA1BFB"/>
    <w:rsid w:val="00EA2371"/>
    <w:rsid w:val="00EA271D"/>
    <w:rsid w:val="00EA64D5"/>
    <w:rsid w:val="00EA6605"/>
    <w:rsid w:val="00EC01ED"/>
    <w:rsid w:val="00EC2458"/>
    <w:rsid w:val="00EC3F7E"/>
    <w:rsid w:val="00EC4550"/>
    <w:rsid w:val="00EC4909"/>
    <w:rsid w:val="00EC6D40"/>
    <w:rsid w:val="00EC75C6"/>
    <w:rsid w:val="00ED046B"/>
    <w:rsid w:val="00ED16DB"/>
    <w:rsid w:val="00ED2A49"/>
    <w:rsid w:val="00ED60D9"/>
    <w:rsid w:val="00ED67CA"/>
    <w:rsid w:val="00ED6C8C"/>
    <w:rsid w:val="00EE03D9"/>
    <w:rsid w:val="00EE1C1D"/>
    <w:rsid w:val="00EE4D03"/>
    <w:rsid w:val="00EE51EC"/>
    <w:rsid w:val="00EE5899"/>
    <w:rsid w:val="00EE633B"/>
    <w:rsid w:val="00EF368B"/>
    <w:rsid w:val="00EF4517"/>
    <w:rsid w:val="00EF4DEE"/>
    <w:rsid w:val="00EF56BA"/>
    <w:rsid w:val="00EF646D"/>
    <w:rsid w:val="00EF75CA"/>
    <w:rsid w:val="00EF7768"/>
    <w:rsid w:val="00F000AC"/>
    <w:rsid w:val="00F00A1C"/>
    <w:rsid w:val="00F01B92"/>
    <w:rsid w:val="00F01F75"/>
    <w:rsid w:val="00F03BC6"/>
    <w:rsid w:val="00F06132"/>
    <w:rsid w:val="00F06651"/>
    <w:rsid w:val="00F06DE4"/>
    <w:rsid w:val="00F10521"/>
    <w:rsid w:val="00F10FD0"/>
    <w:rsid w:val="00F120DD"/>
    <w:rsid w:val="00F12F4F"/>
    <w:rsid w:val="00F14803"/>
    <w:rsid w:val="00F16E81"/>
    <w:rsid w:val="00F22543"/>
    <w:rsid w:val="00F24CBC"/>
    <w:rsid w:val="00F25905"/>
    <w:rsid w:val="00F25A94"/>
    <w:rsid w:val="00F2613F"/>
    <w:rsid w:val="00F34E21"/>
    <w:rsid w:val="00F35633"/>
    <w:rsid w:val="00F377A2"/>
    <w:rsid w:val="00F37AB6"/>
    <w:rsid w:val="00F37B01"/>
    <w:rsid w:val="00F44898"/>
    <w:rsid w:val="00F475A2"/>
    <w:rsid w:val="00F4786D"/>
    <w:rsid w:val="00F55B31"/>
    <w:rsid w:val="00F614E1"/>
    <w:rsid w:val="00F62BC7"/>
    <w:rsid w:val="00F637C7"/>
    <w:rsid w:val="00F637DE"/>
    <w:rsid w:val="00F669DC"/>
    <w:rsid w:val="00F70E47"/>
    <w:rsid w:val="00F7145B"/>
    <w:rsid w:val="00F71F9A"/>
    <w:rsid w:val="00F72DA8"/>
    <w:rsid w:val="00F80222"/>
    <w:rsid w:val="00F80249"/>
    <w:rsid w:val="00F80270"/>
    <w:rsid w:val="00F84159"/>
    <w:rsid w:val="00F93976"/>
    <w:rsid w:val="00F95F8A"/>
    <w:rsid w:val="00F96DAD"/>
    <w:rsid w:val="00F97428"/>
    <w:rsid w:val="00FA0793"/>
    <w:rsid w:val="00FA24FF"/>
    <w:rsid w:val="00FA35B9"/>
    <w:rsid w:val="00FA39AD"/>
    <w:rsid w:val="00FA3BC5"/>
    <w:rsid w:val="00FA64D8"/>
    <w:rsid w:val="00FA75F2"/>
    <w:rsid w:val="00FB092C"/>
    <w:rsid w:val="00FB17BD"/>
    <w:rsid w:val="00FC2DA1"/>
    <w:rsid w:val="00FC3A00"/>
    <w:rsid w:val="00FC3FF4"/>
    <w:rsid w:val="00FC7C17"/>
    <w:rsid w:val="00FC7CB1"/>
    <w:rsid w:val="00FD03FE"/>
    <w:rsid w:val="00FD2934"/>
    <w:rsid w:val="00FD4AF9"/>
    <w:rsid w:val="00FD6184"/>
    <w:rsid w:val="00FD7D04"/>
    <w:rsid w:val="00FE0006"/>
    <w:rsid w:val="00FE25D8"/>
    <w:rsid w:val="00FE7929"/>
    <w:rsid w:val="00FF0373"/>
    <w:rsid w:val="00FF2E6A"/>
    <w:rsid w:val="00FF2EC1"/>
    <w:rsid w:val="00FF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semiHidden/>
    <w:unhideWhenUsed/>
    <w:rsid w:val="00FF2E6A"/>
    <w:pPr>
      <w:tabs>
        <w:tab w:val="center" w:pos="4680"/>
        <w:tab w:val="right" w:pos="9360"/>
      </w:tabs>
    </w:pPr>
  </w:style>
  <w:style w:type="character" w:customStyle="1" w:styleId="HeaderChar">
    <w:name w:val="Header Char"/>
    <w:basedOn w:val="DefaultParagraphFont"/>
    <w:link w:val="Header"/>
    <w:uiPriority w:val="99"/>
    <w:semiHidden/>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PlainText">
    <w:name w:val="Plain Text"/>
    <w:basedOn w:val="Normal"/>
    <w:link w:val="PlainTextChar"/>
    <w:uiPriority w:val="99"/>
    <w:unhideWhenUsed/>
    <w:rsid w:val="00CD0F7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D0F76"/>
    <w:rPr>
      <w:rFonts w:ascii="Consolas" w:hAnsi="Consolas"/>
      <w:sz w:val="21"/>
      <w:szCs w:val="21"/>
    </w:rPr>
  </w:style>
  <w:style w:type="character" w:styleId="FollowedHyperlink">
    <w:name w:val="FollowedHyperlink"/>
    <w:basedOn w:val="DefaultParagraphFont"/>
    <w:uiPriority w:val="99"/>
    <w:semiHidden/>
    <w:unhideWhenUsed/>
    <w:rsid w:val="004E4B07"/>
    <w:rPr>
      <w:color w:val="800080" w:themeColor="followedHyperlink"/>
      <w:u w:val="single"/>
    </w:rPr>
  </w:style>
  <w:style w:type="paragraph" w:styleId="NormalWeb">
    <w:name w:val="Normal (Web)"/>
    <w:basedOn w:val="Normal"/>
    <w:uiPriority w:val="99"/>
    <w:semiHidden/>
    <w:unhideWhenUsed/>
    <w:rsid w:val="00517AA1"/>
    <w:pPr>
      <w:spacing w:before="120" w:after="240"/>
    </w:pPr>
  </w:style>
  <w:style w:type="paragraph" w:styleId="BalloonText">
    <w:name w:val="Balloon Text"/>
    <w:basedOn w:val="Normal"/>
    <w:link w:val="BalloonTextChar"/>
    <w:uiPriority w:val="99"/>
    <w:semiHidden/>
    <w:unhideWhenUsed/>
    <w:rsid w:val="006021A0"/>
    <w:rPr>
      <w:rFonts w:ascii="Tahoma" w:hAnsi="Tahoma" w:cs="Tahoma"/>
      <w:sz w:val="16"/>
      <w:szCs w:val="16"/>
    </w:rPr>
  </w:style>
  <w:style w:type="character" w:customStyle="1" w:styleId="BalloonTextChar">
    <w:name w:val="Balloon Text Char"/>
    <w:basedOn w:val="DefaultParagraphFont"/>
    <w:link w:val="BalloonText"/>
    <w:uiPriority w:val="99"/>
    <w:semiHidden/>
    <w:rsid w:val="006021A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semiHidden/>
    <w:unhideWhenUsed/>
    <w:rsid w:val="00FF2E6A"/>
    <w:pPr>
      <w:tabs>
        <w:tab w:val="center" w:pos="4680"/>
        <w:tab w:val="right" w:pos="9360"/>
      </w:tabs>
    </w:pPr>
  </w:style>
  <w:style w:type="character" w:customStyle="1" w:styleId="HeaderChar">
    <w:name w:val="Header Char"/>
    <w:basedOn w:val="DefaultParagraphFont"/>
    <w:link w:val="Header"/>
    <w:uiPriority w:val="99"/>
    <w:semiHidden/>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PlainText">
    <w:name w:val="Plain Text"/>
    <w:basedOn w:val="Normal"/>
    <w:link w:val="PlainTextChar"/>
    <w:uiPriority w:val="99"/>
    <w:unhideWhenUsed/>
    <w:rsid w:val="00CD0F7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D0F76"/>
    <w:rPr>
      <w:rFonts w:ascii="Consolas" w:hAnsi="Consolas"/>
      <w:sz w:val="21"/>
      <w:szCs w:val="21"/>
    </w:rPr>
  </w:style>
  <w:style w:type="character" w:styleId="FollowedHyperlink">
    <w:name w:val="FollowedHyperlink"/>
    <w:basedOn w:val="DefaultParagraphFont"/>
    <w:uiPriority w:val="99"/>
    <w:semiHidden/>
    <w:unhideWhenUsed/>
    <w:rsid w:val="004E4B07"/>
    <w:rPr>
      <w:color w:val="800080" w:themeColor="followedHyperlink"/>
      <w:u w:val="single"/>
    </w:rPr>
  </w:style>
  <w:style w:type="paragraph" w:styleId="NormalWeb">
    <w:name w:val="Normal (Web)"/>
    <w:basedOn w:val="Normal"/>
    <w:uiPriority w:val="99"/>
    <w:semiHidden/>
    <w:unhideWhenUsed/>
    <w:rsid w:val="00517AA1"/>
    <w:pPr>
      <w:spacing w:before="120" w:after="240"/>
    </w:pPr>
  </w:style>
  <w:style w:type="paragraph" w:styleId="BalloonText">
    <w:name w:val="Balloon Text"/>
    <w:basedOn w:val="Normal"/>
    <w:link w:val="BalloonTextChar"/>
    <w:uiPriority w:val="99"/>
    <w:semiHidden/>
    <w:unhideWhenUsed/>
    <w:rsid w:val="006021A0"/>
    <w:rPr>
      <w:rFonts w:ascii="Tahoma" w:hAnsi="Tahoma" w:cs="Tahoma"/>
      <w:sz w:val="16"/>
      <w:szCs w:val="16"/>
    </w:rPr>
  </w:style>
  <w:style w:type="character" w:customStyle="1" w:styleId="BalloonTextChar">
    <w:name w:val="Balloon Text Char"/>
    <w:basedOn w:val="DefaultParagraphFont"/>
    <w:link w:val="BalloonText"/>
    <w:uiPriority w:val="99"/>
    <w:semiHidden/>
    <w:rsid w:val="006021A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1496">
      <w:bodyDiv w:val="1"/>
      <w:marLeft w:val="0"/>
      <w:marRight w:val="0"/>
      <w:marTop w:val="0"/>
      <w:marBottom w:val="0"/>
      <w:divBdr>
        <w:top w:val="none" w:sz="0" w:space="0" w:color="auto"/>
        <w:left w:val="none" w:sz="0" w:space="0" w:color="auto"/>
        <w:bottom w:val="none" w:sz="0" w:space="0" w:color="auto"/>
        <w:right w:val="none" w:sz="0" w:space="0" w:color="auto"/>
      </w:divBdr>
    </w:div>
    <w:div w:id="262762164">
      <w:bodyDiv w:val="1"/>
      <w:marLeft w:val="0"/>
      <w:marRight w:val="0"/>
      <w:marTop w:val="0"/>
      <w:marBottom w:val="0"/>
      <w:divBdr>
        <w:top w:val="none" w:sz="0" w:space="0" w:color="auto"/>
        <w:left w:val="none" w:sz="0" w:space="0" w:color="auto"/>
        <w:bottom w:val="none" w:sz="0" w:space="0" w:color="auto"/>
        <w:right w:val="none" w:sz="0" w:space="0" w:color="auto"/>
      </w:divBdr>
    </w:div>
    <w:div w:id="312682235">
      <w:bodyDiv w:val="1"/>
      <w:marLeft w:val="0"/>
      <w:marRight w:val="0"/>
      <w:marTop w:val="0"/>
      <w:marBottom w:val="0"/>
      <w:divBdr>
        <w:top w:val="none" w:sz="0" w:space="0" w:color="auto"/>
        <w:left w:val="none" w:sz="0" w:space="0" w:color="auto"/>
        <w:bottom w:val="none" w:sz="0" w:space="0" w:color="auto"/>
        <w:right w:val="none" w:sz="0" w:space="0" w:color="auto"/>
      </w:divBdr>
    </w:div>
    <w:div w:id="567035778">
      <w:bodyDiv w:val="1"/>
      <w:marLeft w:val="0"/>
      <w:marRight w:val="0"/>
      <w:marTop w:val="0"/>
      <w:marBottom w:val="0"/>
      <w:divBdr>
        <w:top w:val="none" w:sz="0" w:space="0" w:color="auto"/>
        <w:left w:val="none" w:sz="0" w:space="0" w:color="auto"/>
        <w:bottom w:val="none" w:sz="0" w:space="0" w:color="auto"/>
        <w:right w:val="none" w:sz="0" w:space="0" w:color="auto"/>
      </w:divBdr>
    </w:div>
    <w:div w:id="1150364949">
      <w:bodyDiv w:val="1"/>
      <w:marLeft w:val="0"/>
      <w:marRight w:val="0"/>
      <w:marTop w:val="0"/>
      <w:marBottom w:val="0"/>
      <w:divBdr>
        <w:top w:val="none" w:sz="0" w:space="0" w:color="auto"/>
        <w:left w:val="none" w:sz="0" w:space="0" w:color="auto"/>
        <w:bottom w:val="none" w:sz="0" w:space="0" w:color="auto"/>
        <w:right w:val="none" w:sz="0" w:space="0" w:color="auto"/>
      </w:divBdr>
    </w:div>
    <w:div w:id="1682779369">
      <w:bodyDiv w:val="1"/>
      <w:marLeft w:val="75"/>
      <w:marRight w:val="75"/>
      <w:marTop w:val="75"/>
      <w:marBottom w:val="75"/>
      <w:divBdr>
        <w:top w:val="none" w:sz="0" w:space="0" w:color="auto"/>
        <w:left w:val="none" w:sz="0" w:space="0" w:color="auto"/>
        <w:bottom w:val="none" w:sz="0" w:space="0" w:color="auto"/>
        <w:right w:val="none" w:sz="0" w:space="0" w:color="auto"/>
      </w:divBdr>
      <w:divsChild>
        <w:div w:id="1047685113">
          <w:marLeft w:val="0"/>
          <w:marRight w:val="0"/>
          <w:marTop w:val="75"/>
          <w:marBottom w:val="75"/>
          <w:divBdr>
            <w:top w:val="none" w:sz="0" w:space="0" w:color="auto"/>
            <w:left w:val="none" w:sz="0" w:space="0" w:color="auto"/>
            <w:bottom w:val="none" w:sz="0" w:space="0" w:color="auto"/>
            <w:right w:val="none" w:sz="0" w:space="0" w:color="auto"/>
          </w:divBdr>
          <w:divsChild>
            <w:div w:id="1400708003">
              <w:marLeft w:val="0"/>
              <w:marRight w:val="0"/>
              <w:marTop w:val="0"/>
              <w:marBottom w:val="0"/>
              <w:divBdr>
                <w:top w:val="single" w:sz="6" w:space="0" w:color="012F50"/>
                <w:left w:val="none" w:sz="0" w:space="0" w:color="012F50"/>
                <w:bottom w:val="single" w:sz="6" w:space="0" w:color="012F50"/>
                <w:right w:val="none" w:sz="0" w:space="0" w:color="012F50"/>
              </w:divBdr>
              <w:divsChild>
                <w:div w:id="965896034">
                  <w:marLeft w:val="0"/>
                  <w:marRight w:val="0"/>
                  <w:marTop w:val="0"/>
                  <w:marBottom w:val="0"/>
                  <w:divBdr>
                    <w:top w:val="none" w:sz="0" w:space="0" w:color="auto"/>
                    <w:left w:val="none" w:sz="0" w:space="0" w:color="auto"/>
                    <w:bottom w:val="none" w:sz="0" w:space="0" w:color="auto"/>
                    <w:right w:val="none" w:sz="0" w:space="0" w:color="auto"/>
                  </w:divBdr>
                  <w:divsChild>
                    <w:div w:id="1809784245">
                      <w:marLeft w:val="0"/>
                      <w:marRight w:val="0"/>
                      <w:marTop w:val="0"/>
                      <w:marBottom w:val="0"/>
                      <w:divBdr>
                        <w:top w:val="none" w:sz="0" w:space="0" w:color="auto"/>
                        <w:left w:val="none" w:sz="0" w:space="0" w:color="auto"/>
                        <w:bottom w:val="none" w:sz="0" w:space="0" w:color="auto"/>
                        <w:right w:val="none" w:sz="0" w:space="0" w:color="auto"/>
                      </w:divBdr>
                      <w:divsChild>
                        <w:div w:id="94139246">
                          <w:marLeft w:val="0"/>
                          <w:marRight w:val="0"/>
                          <w:marTop w:val="0"/>
                          <w:marBottom w:val="0"/>
                          <w:divBdr>
                            <w:top w:val="none" w:sz="0" w:space="0" w:color="auto"/>
                            <w:left w:val="none" w:sz="0" w:space="0" w:color="auto"/>
                            <w:bottom w:val="none" w:sz="0" w:space="0" w:color="auto"/>
                            <w:right w:val="none" w:sz="0" w:space="0" w:color="auto"/>
                          </w:divBdr>
                          <w:divsChild>
                            <w:div w:id="198586775">
                              <w:marLeft w:val="0"/>
                              <w:marRight w:val="0"/>
                              <w:marTop w:val="0"/>
                              <w:marBottom w:val="0"/>
                              <w:divBdr>
                                <w:top w:val="none" w:sz="0" w:space="0" w:color="auto"/>
                                <w:left w:val="none" w:sz="0" w:space="0" w:color="auto"/>
                                <w:bottom w:val="none" w:sz="0" w:space="0" w:color="auto"/>
                                <w:right w:val="none" w:sz="0" w:space="0" w:color="auto"/>
                              </w:divBdr>
                              <w:divsChild>
                                <w:div w:id="1100025480">
                                  <w:marLeft w:val="0"/>
                                  <w:marRight w:val="0"/>
                                  <w:marTop w:val="0"/>
                                  <w:marBottom w:val="0"/>
                                  <w:divBdr>
                                    <w:top w:val="none" w:sz="0" w:space="0" w:color="auto"/>
                                    <w:left w:val="none" w:sz="0" w:space="0" w:color="auto"/>
                                    <w:bottom w:val="none" w:sz="0" w:space="0" w:color="auto"/>
                                    <w:right w:val="none" w:sz="0" w:space="0" w:color="auto"/>
                                  </w:divBdr>
                                  <w:divsChild>
                                    <w:div w:id="1404835183">
                                      <w:marLeft w:val="0"/>
                                      <w:marRight w:val="0"/>
                                      <w:marTop w:val="0"/>
                                      <w:marBottom w:val="0"/>
                                      <w:divBdr>
                                        <w:top w:val="none" w:sz="0" w:space="0" w:color="auto"/>
                                        <w:left w:val="none" w:sz="0" w:space="0" w:color="auto"/>
                                        <w:bottom w:val="none" w:sz="0" w:space="0" w:color="auto"/>
                                        <w:right w:val="none" w:sz="0" w:space="0" w:color="auto"/>
                                      </w:divBdr>
                                      <w:divsChild>
                                        <w:div w:id="1843473770">
                                          <w:marLeft w:val="0"/>
                                          <w:marRight w:val="0"/>
                                          <w:marTop w:val="0"/>
                                          <w:marBottom w:val="0"/>
                                          <w:divBdr>
                                            <w:top w:val="none" w:sz="0" w:space="0" w:color="auto"/>
                                            <w:left w:val="none" w:sz="0" w:space="0" w:color="auto"/>
                                            <w:bottom w:val="none" w:sz="0" w:space="0" w:color="auto"/>
                                            <w:right w:val="none" w:sz="0" w:space="0" w:color="auto"/>
                                          </w:divBdr>
                                          <w:divsChild>
                                            <w:div w:id="88776577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sChild>
                        </w:div>
                      </w:divsChild>
                    </w:div>
                  </w:divsChild>
                </w:div>
              </w:divsChild>
            </w:div>
          </w:divsChild>
        </w:div>
      </w:divsChild>
    </w:div>
    <w:div w:id="18572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mu.edu/roadmap2015"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mu.edu/aqi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mu.edu/aq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1B609-4B09-4539-BD28-7C5BD898D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3</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yourid</dc:creator>
  <cp:lastModifiedBy>Jim Bradley</cp:lastModifiedBy>
  <cp:revision>12</cp:revision>
  <cp:lastPrinted>2012-10-01T13:56:00Z</cp:lastPrinted>
  <dcterms:created xsi:type="dcterms:W3CDTF">2012-07-03T14:30:00Z</dcterms:created>
  <dcterms:modified xsi:type="dcterms:W3CDTF">2012-10-01T15:02:00Z</dcterms:modified>
</cp:coreProperties>
</file>