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5B485A" w:rsidP="00254735">
            <w:pPr>
              <w:rPr>
                <w:rFonts w:ascii="Arial Narrow" w:hAnsi="Arial Narrow"/>
              </w:rPr>
            </w:pPr>
            <w:r>
              <w:rPr>
                <w:rFonts w:ascii="Arial Narrow" w:hAnsi="Arial Narrow"/>
              </w:rPr>
              <w:t>Public Safety and Police Services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BB69C5">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BB69C5">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BB69C5">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5B485A" w:rsidP="00254735">
            <w:pPr>
              <w:rPr>
                <w:rFonts w:ascii="Arial Narrow" w:hAnsi="Arial Narrow" w:cs="Arial"/>
              </w:rPr>
            </w:pPr>
            <w:r>
              <w:rPr>
                <w:rFonts w:ascii="Arial Narrow" w:hAnsi="Arial Narrow" w:cs="Arial"/>
              </w:rPr>
              <w:t>09/25/2012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5B485A" w:rsidP="00254735">
            <w:pPr>
              <w:rPr>
                <w:rFonts w:ascii="Arial Narrow" w:hAnsi="Arial Narrow"/>
              </w:rPr>
            </w:pPr>
            <w:r>
              <w:rPr>
                <w:rFonts w:ascii="Arial Narrow" w:hAnsi="Arial Narrow"/>
              </w:rPr>
              <w:t>Michael Bath</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07549A">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07549A">
              <w:rPr>
                <w:rFonts w:ascii="Arial Narrow" w:hAnsi="Arial Narrow" w:cs="Arial"/>
                <w:b/>
                <w:sz w:val="22"/>
                <w:szCs w:val="22"/>
              </w:rPr>
              <w:t xml:space="preserve"> </w:t>
            </w:r>
            <w:r w:rsidR="0007549A" w:rsidRPr="0007549A">
              <w:rPr>
                <w:rFonts w:ascii="Arial Narrow" w:hAnsi="Arial Narrow" w:cs="Arial"/>
                <w:b/>
                <w:sz w:val="22"/>
                <w:szCs w:val="22"/>
                <w:u w:val="single"/>
              </w:rPr>
              <w:t xml:space="preserve"> X</w:t>
            </w:r>
            <w:r w:rsidR="0007549A">
              <w:rPr>
                <w:rFonts w:ascii="Arial Narrow" w:hAnsi="Arial Narrow" w:cs="Arial"/>
                <w:b/>
                <w:sz w:val="22"/>
                <w:szCs w:val="22"/>
                <w:u w:val="single"/>
              </w:rPr>
              <w:t xml:space="preserve"> </w:t>
            </w:r>
            <w:r w:rsidR="0007549A">
              <w:rPr>
                <w:rFonts w:ascii="Arial Narrow" w:hAnsi="Arial Narrow" w:cs="Arial"/>
                <w:b/>
                <w:sz w:val="22"/>
                <w:szCs w:val="22"/>
              </w:rPr>
              <w:t xml:space="preserve"> </w:t>
            </w:r>
            <w:r w:rsidR="007D2C63">
              <w:rPr>
                <w:rFonts w:ascii="Arial Narrow" w:hAnsi="Arial Narrow" w:cs="Arial"/>
                <w:b/>
                <w:sz w:val="22"/>
                <w:szCs w:val="22"/>
              </w:rPr>
              <w:t xml:space="preserve">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5B485A" w:rsidP="00E47E9A">
            <w:pPr>
              <w:rPr>
                <w:rFonts w:ascii="Arial Narrow" w:hAnsi="Arial Narrow" w:cs="Arial"/>
                <w:szCs w:val="20"/>
              </w:rPr>
            </w:pPr>
            <w:r w:rsidRPr="000B26F5">
              <w:rPr>
                <w:rFonts w:ascii="Arial Narrow" w:hAnsi="Arial Narrow" w:cs="Arial"/>
                <w:sz w:val="20"/>
                <w:szCs w:val="20"/>
              </w:rPr>
              <w:t>To assist in providing a safe and secure living and learning environment for the university community that is consistent with the values and mission of the university.</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5B30A0">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B30A0">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5B30A0">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5B30A0">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5B30A0">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B30A0">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674A09" w:rsidRDefault="00FE3472" w:rsidP="00972B3B">
            <w:pPr>
              <w:pStyle w:val="ListParagraph"/>
              <w:spacing w:after="240"/>
              <w:ind w:left="0"/>
              <w:rPr>
                <w:rFonts w:ascii="Arial Narrow" w:hAnsi="Arial Narrow" w:cs="Arial"/>
                <w:sz w:val="20"/>
                <w:szCs w:val="20"/>
              </w:rPr>
            </w:pPr>
            <w:r w:rsidRPr="00431236">
              <w:rPr>
                <w:rFonts w:ascii="Arial Narrow" w:hAnsi="Arial Narrow" w:cs="Arial"/>
                <w:i/>
                <w:sz w:val="20"/>
                <w:szCs w:val="22"/>
              </w:rPr>
              <w:t>Objective</w:t>
            </w:r>
            <w:r w:rsidRPr="00431236">
              <w:rPr>
                <w:rFonts w:ascii="Arial Narrow" w:hAnsi="Arial Narrow" w:cs="Arial"/>
                <w:sz w:val="22"/>
                <w:szCs w:val="22"/>
              </w:rPr>
              <w:t>:</w:t>
            </w:r>
            <w:r w:rsidR="005B485A">
              <w:rPr>
                <w:rFonts w:ascii="Arial Narrow" w:hAnsi="Arial Narrow" w:cs="Arial"/>
                <w:sz w:val="22"/>
                <w:szCs w:val="22"/>
              </w:rPr>
              <w:t xml:space="preserve">  </w:t>
            </w:r>
            <w:r w:rsidR="005B485A" w:rsidRPr="006F448E">
              <w:rPr>
                <w:rFonts w:ascii="Arial Narrow" w:hAnsi="Arial Narrow" w:cs="Arial"/>
                <w:sz w:val="20"/>
                <w:szCs w:val="20"/>
              </w:rPr>
              <w:t xml:space="preserve">The University </w:t>
            </w:r>
            <w:r w:rsidR="00674A09">
              <w:rPr>
                <w:rFonts w:ascii="Arial Narrow" w:hAnsi="Arial Narrow" w:cs="Arial"/>
                <w:sz w:val="20"/>
                <w:szCs w:val="20"/>
              </w:rPr>
              <w:t>must identify and train all individuals that are classified as a Campus Security Authority in compliance with</w:t>
            </w:r>
            <w:r w:rsidR="005B485A" w:rsidRPr="006F448E">
              <w:rPr>
                <w:rFonts w:ascii="Arial Narrow" w:hAnsi="Arial Narrow" w:cs="Arial"/>
                <w:sz w:val="20"/>
                <w:szCs w:val="20"/>
              </w:rPr>
              <w:t xml:space="preserve"> the </w:t>
            </w:r>
            <w:r w:rsidR="005B485A">
              <w:rPr>
                <w:rFonts w:ascii="Arial Narrow" w:hAnsi="Arial Narrow" w:cs="Arial"/>
                <w:sz w:val="20"/>
                <w:szCs w:val="20"/>
              </w:rPr>
              <w:t>Higher Education Opportunity Act (</w:t>
            </w:r>
            <w:r w:rsidR="005B485A" w:rsidRPr="006F448E">
              <w:rPr>
                <w:rFonts w:ascii="Arial Narrow" w:hAnsi="Arial Narrow" w:cs="Arial"/>
                <w:sz w:val="20"/>
                <w:szCs w:val="20"/>
              </w:rPr>
              <w:t xml:space="preserve">Fire Safety </w:t>
            </w:r>
            <w:r w:rsidR="005B485A">
              <w:rPr>
                <w:rFonts w:ascii="Arial Narrow" w:hAnsi="Arial Narrow" w:cs="Arial"/>
                <w:sz w:val="20"/>
                <w:szCs w:val="20"/>
              </w:rPr>
              <w:t xml:space="preserve">Annual Compliance Report </w:t>
            </w:r>
            <w:r w:rsidR="005B485A" w:rsidRPr="006F448E">
              <w:rPr>
                <w:rFonts w:ascii="Arial Narrow" w:hAnsi="Arial Narrow" w:cs="Arial"/>
                <w:sz w:val="20"/>
                <w:szCs w:val="20"/>
              </w:rPr>
              <w:t xml:space="preserve">and the </w:t>
            </w:r>
            <w:proofErr w:type="spellStart"/>
            <w:r w:rsidR="005B485A" w:rsidRPr="006F448E">
              <w:rPr>
                <w:rFonts w:ascii="Arial Narrow" w:hAnsi="Arial Narrow" w:cs="Arial"/>
                <w:sz w:val="20"/>
                <w:szCs w:val="20"/>
              </w:rPr>
              <w:t>Clery</w:t>
            </w:r>
            <w:proofErr w:type="spellEnd"/>
            <w:r w:rsidR="005B485A" w:rsidRPr="006F448E">
              <w:rPr>
                <w:rFonts w:ascii="Arial Narrow" w:hAnsi="Arial Narrow" w:cs="Arial"/>
                <w:sz w:val="20"/>
                <w:szCs w:val="20"/>
              </w:rPr>
              <w:t xml:space="preserve"> Act</w:t>
            </w:r>
            <w:r w:rsidR="00674A09">
              <w:rPr>
                <w:rFonts w:ascii="Arial Narrow" w:hAnsi="Arial Narrow" w:cs="Arial"/>
                <w:sz w:val="20"/>
                <w:szCs w:val="20"/>
              </w:rPr>
              <w:t xml:space="preserve">). This is conducted annually, due to changes in personnel. </w:t>
            </w:r>
          </w:p>
          <w:p w:rsidR="00674A09" w:rsidRDefault="00674A09" w:rsidP="00972B3B">
            <w:pPr>
              <w:pStyle w:val="ListParagraph"/>
              <w:spacing w:after="240"/>
              <w:ind w:left="360"/>
              <w:rPr>
                <w:rFonts w:ascii="Arial Narrow" w:hAnsi="Arial Narrow" w:cs="Arial"/>
                <w:sz w:val="20"/>
                <w:szCs w:val="20"/>
              </w:rPr>
            </w:pPr>
          </w:p>
          <w:p w:rsidR="005B485A" w:rsidRPr="006F448E" w:rsidRDefault="00674A09" w:rsidP="00972B3B">
            <w:pPr>
              <w:pStyle w:val="ListParagraph"/>
              <w:spacing w:after="240"/>
              <w:ind w:left="0"/>
              <w:rPr>
                <w:rFonts w:ascii="Arial Narrow" w:hAnsi="Arial Narrow" w:cs="Arial"/>
                <w:sz w:val="20"/>
                <w:szCs w:val="20"/>
              </w:rPr>
            </w:pPr>
            <w:r>
              <w:rPr>
                <w:rFonts w:ascii="Arial Narrow" w:hAnsi="Arial Narrow" w:cs="Arial"/>
                <w:sz w:val="20"/>
                <w:szCs w:val="20"/>
              </w:rPr>
              <w:t xml:space="preserve">The objective is to ensure 100% compliance with the identification and training of these individuals. </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5B485A" w:rsidP="00C63E27">
            <w:pPr>
              <w:rPr>
                <w:rFonts w:ascii="Arial Narrow" w:hAnsi="Arial Narrow"/>
              </w:rPr>
            </w:pPr>
            <w:r>
              <w:rPr>
                <w:rFonts w:ascii="Arial Narrow" w:hAnsi="Arial Narrow"/>
                <w:sz w:val="20"/>
                <w:szCs w:val="22"/>
                <w:u w:val="single"/>
              </w:rPr>
              <w:sym w:font="Wingdings" w:char="F0FE"/>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5B485A">
              <w:rPr>
                <w:rFonts w:ascii="Arial Narrow" w:hAnsi="Arial Narrow"/>
                <w:i/>
                <w:sz w:val="20"/>
                <w:szCs w:val="20"/>
              </w:rPr>
              <w:t>Category 6</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9651B9">
              <w:rPr>
                <w:rFonts w:ascii="Arial Narrow" w:hAnsi="Arial Narrow"/>
                <w:sz w:val="22"/>
                <w:szCs w:val="22"/>
              </w:rPr>
              <w:t>CA-2</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5B485A" w:rsidRDefault="005B485A" w:rsidP="005B485A">
            <w:pPr>
              <w:rPr>
                <w:rFonts w:ascii="Arial Narrow" w:hAnsi="Arial Narrow" w:cs="Arial"/>
                <w:sz w:val="20"/>
                <w:szCs w:val="20"/>
              </w:rPr>
            </w:pPr>
            <w:r w:rsidRPr="000B26F5">
              <w:rPr>
                <w:rFonts w:ascii="Arial Narrow" w:hAnsi="Arial Narrow" w:cs="Arial"/>
                <w:sz w:val="20"/>
                <w:szCs w:val="20"/>
              </w:rPr>
              <w:t xml:space="preserve">1a. </w:t>
            </w:r>
            <w:r>
              <w:rPr>
                <w:rFonts w:ascii="Arial Narrow" w:hAnsi="Arial Narrow" w:cs="Arial"/>
                <w:sz w:val="20"/>
                <w:szCs w:val="20"/>
              </w:rPr>
              <w:t>Identify campus security authorities annually by 9/1/12.</w:t>
            </w:r>
          </w:p>
          <w:p w:rsidR="005B485A" w:rsidRDefault="005B485A" w:rsidP="005B485A">
            <w:pPr>
              <w:rPr>
                <w:rFonts w:ascii="Arial Narrow" w:hAnsi="Arial Narrow" w:cs="Arial"/>
                <w:sz w:val="20"/>
                <w:szCs w:val="20"/>
              </w:rPr>
            </w:pPr>
            <w:r>
              <w:rPr>
                <w:rFonts w:ascii="Arial Narrow" w:hAnsi="Arial Narrow" w:cs="Arial"/>
                <w:sz w:val="20"/>
                <w:szCs w:val="20"/>
              </w:rPr>
              <w:t>1b. University s</w:t>
            </w:r>
            <w:r w:rsidRPr="000B26F5">
              <w:rPr>
                <w:rFonts w:ascii="Arial Narrow" w:hAnsi="Arial Narrow" w:cs="Arial"/>
                <w:sz w:val="20"/>
                <w:szCs w:val="20"/>
              </w:rPr>
              <w:t xml:space="preserve">taff will </w:t>
            </w:r>
            <w:r>
              <w:rPr>
                <w:rFonts w:ascii="Arial Narrow" w:hAnsi="Arial Narrow" w:cs="Arial"/>
                <w:sz w:val="20"/>
                <w:szCs w:val="20"/>
              </w:rPr>
              <w:t xml:space="preserve">participate in </w:t>
            </w:r>
            <w:r w:rsidRPr="000B26F5">
              <w:rPr>
                <w:rFonts w:ascii="Arial Narrow" w:hAnsi="Arial Narrow" w:cs="Arial"/>
                <w:sz w:val="20"/>
                <w:szCs w:val="20"/>
              </w:rPr>
              <w:t xml:space="preserve">mandated </w:t>
            </w:r>
            <w:r>
              <w:rPr>
                <w:rFonts w:ascii="Arial Narrow" w:hAnsi="Arial Narrow" w:cs="Arial"/>
                <w:sz w:val="20"/>
                <w:szCs w:val="20"/>
              </w:rPr>
              <w:t>training on t</w:t>
            </w:r>
            <w:r w:rsidRPr="000B26F5">
              <w:rPr>
                <w:rFonts w:ascii="Arial Narrow" w:hAnsi="Arial Narrow" w:cs="Arial"/>
                <w:sz w:val="20"/>
                <w:szCs w:val="20"/>
              </w:rPr>
              <w:t xml:space="preserve">he </w:t>
            </w:r>
            <w:r>
              <w:rPr>
                <w:rFonts w:ascii="Arial Narrow" w:hAnsi="Arial Narrow" w:cs="Arial"/>
                <w:sz w:val="20"/>
                <w:szCs w:val="20"/>
              </w:rPr>
              <w:t>Higher E</w:t>
            </w:r>
            <w:bookmarkStart w:id="0" w:name="_GoBack"/>
            <w:bookmarkEnd w:id="0"/>
            <w:r>
              <w:rPr>
                <w:rFonts w:ascii="Arial Narrow" w:hAnsi="Arial Narrow" w:cs="Arial"/>
                <w:sz w:val="20"/>
                <w:szCs w:val="20"/>
              </w:rPr>
              <w:t>ducation Opportunity Act (</w:t>
            </w:r>
            <w:r w:rsidRPr="006F448E">
              <w:rPr>
                <w:rFonts w:ascii="Arial Narrow" w:hAnsi="Arial Narrow" w:cs="Arial"/>
                <w:sz w:val="20"/>
                <w:szCs w:val="20"/>
              </w:rPr>
              <w:t xml:space="preserve">Fire Safety </w:t>
            </w:r>
            <w:r>
              <w:rPr>
                <w:rFonts w:ascii="Arial Narrow" w:hAnsi="Arial Narrow" w:cs="Arial"/>
                <w:sz w:val="20"/>
                <w:szCs w:val="20"/>
              </w:rPr>
              <w:t xml:space="preserve">Annual Compliance Report </w:t>
            </w:r>
            <w:r w:rsidRPr="006F448E">
              <w:rPr>
                <w:rFonts w:ascii="Arial Narrow" w:hAnsi="Arial Narrow" w:cs="Arial"/>
                <w:sz w:val="20"/>
                <w:szCs w:val="20"/>
              </w:rPr>
              <w:t xml:space="preserve">and the </w:t>
            </w:r>
            <w:proofErr w:type="spellStart"/>
            <w:r w:rsidRPr="006F448E">
              <w:rPr>
                <w:rFonts w:ascii="Arial Narrow" w:hAnsi="Arial Narrow" w:cs="Arial"/>
                <w:sz w:val="20"/>
                <w:szCs w:val="20"/>
              </w:rPr>
              <w:t>Clery</w:t>
            </w:r>
            <w:proofErr w:type="spellEnd"/>
            <w:r w:rsidRPr="006F448E">
              <w:rPr>
                <w:rFonts w:ascii="Arial Narrow" w:hAnsi="Arial Narrow" w:cs="Arial"/>
                <w:sz w:val="20"/>
                <w:szCs w:val="20"/>
              </w:rPr>
              <w:t xml:space="preserve"> Act</w:t>
            </w:r>
            <w:r>
              <w:rPr>
                <w:rFonts w:ascii="Arial Narrow" w:hAnsi="Arial Narrow" w:cs="Arial"/>
                <w:sz w:val="20"/>
                <w:szCs w:val="20"/>
              </w:rPr>
              <w:t>)</w:t>
            </w:r>
            <w:r w:rsidRPr="000B26F5">
              <w:rPr>
                <w:rFonts w:ascii="Arial Narrow" w:hAnsi="Arial Narrow" w:cs="Arial"/>
                <w:sz w:val="20"/>
                <w:szCs w:val="20"/>
              </w:rPr>
              <w:t xml:space="preserve"> </w:t>
            </w:r>
            <w:r>
              <w:rPr>
                <w:rFonts w:ascii="Arial Narrow" w:hAnsi="Arial Narrow" w:cs="Arial"/>
                <w:sz w:val="20"/>
                <w:szCs w:val="20"/>
              </w:rPr>
              <w:t>by</w:t>
            </w:r>
            <w:r w:rsidRPr="000B26F5">
              <w:rPr>
                <w:rFonts w:ascii="Arial Narrow" w:hAnsi="Arial Narrow" w:cs="Arial"/>
                <w:sz w:val="20"/>
                <w:szCs w:val="20"/>
              </w:rPr>
              <w:t xml:space="preserve"> </w:t>
            </w:r>
            <w:r>
              <w:rPr>
                <w:rFonts w:ascii="Arial Narrow" w:hAnsi="Arial Narrow" w:cs="Arial"/>
                <w:sz w:val="20"/>
                <w:szCs w:val="20"/>
              </w:rPr>
              <w:t>10/3</w:t>
            </w:r>
            <w:r w:rsidRPr="000B26F5">
              <w:rPr>
                <w:rFonts w:ascii="Arial Narrow" w:hAnsi="Arial Narrow" w:cs="Arial"/>
                <w:sz w:val="20"/>
                <w:szCs w:val="20"/>
              </w:rPr>
              <w:t>1/201</w:t>
            </w:r>
            <w:r w:rsidR="005B30A0">
              <w:rPr>
                <w:rFonts w:ascii="Arial Narrow" w:hAnsi="Arial Narrow" w:cs="Arial"/>
                <w:sz w:val="20"/>
                <w:szCs w:val="20"/>
              </w:rPr>
              <w:t>3</w:t>
            </w:r>
            <w:r w:rsidRPr="000B26F5">
              <w:rPr>
                <w:rFonts w:ascii="Arial Narrow" w:hAnsi="Arial Narrow" w:cs="Arial"/>
                <w:sz w:val="20"/>
                <w:szCs w:val="20"/>
              </w:rPr>
              <w:t>.</w:t>
            </w:r>
          </w:p>
          <w:p w:rsidR="005B485A" w:rsidRPr="000B26F5" w:rsidRDefault="005B485A" w:rsidP="005B485A">
            <w:pPr>
              <w:rPr>
                <w:rFonts w:ascii="Arial Narrow" w:hAnsi="Arial Narrow" w:cs="Arial"/>
                <w:sz w:val="20"/>
                <w:szCs w:val="20"/>
              </w:rPr>
            </w:pPr>
            <w:r>
              <w:rPr>
                <w:rFonts w:ascii="Arial Narrow" w:hAnsi="Arial Narrow" w:cs="Arial"/>
                <w:sz w:val="20"/>
                <w:szCs w:val="20"/>
              </w:rPr>
              <w:t>1c. Ensure 100% compliance through a training tracking system which has been developed between Public Safety and Police Services and ADIT.</w:t>
            </w:r>
          </w:p>
          <w:p w:rsidR="005B485A" w:rsidRPr="000B26F5" w:rsidRDefault="005B485A" w:rsidP="005B485A">
            <w:pPr>
              <w:rPr>
                <w:rFonts w:ascii="Arial Narrow" w:hAnsi="Arial Narrow" w:cs="Arial"/>
                <w:sz w:val="20"/>
                <w:szCs w:val="20"/>
              </w:rPr>
            </w:pPr>
            <w:r>
              <w:rPr>
                <w:rFonts w:ascii="Arial Narrow" w:hAnsi="Arial Narrow" w:cs="Arial"/>
                <w:sz w:val="20"/>
                <w:szCs w:val="20"/>
              </w:rPr>
              <w:t>1d.</w:t>
            </w:r>
            <w:r w:rsidRPr="000B26F5">
              <w:rPr>
                <w:rFonts w:ascii="Arial Narrow" w:hAnsi="Arial Narrow" w:cs="Arial"/>
                <w:sz w:val="20"/>
                <w:szCs w:val="20"/>
              </w:rPr>
              <w:t xml:space="preserve">Publish </w:t>
            </w:r>
            <w:r>
              <w:rPr>
                <w:rFonts w:ascii="Arial Narrow" w:hAnsi="Arial Narrow" w:cs="Arial"/>
                <w:sz w:val="20"/>
                <w:szCs w:val="20"/>
              </w:rPr>
              <w:t>the Annual Security Report - Higher Education Opportunity Act (</w:t>
            </w:r>
            <w:r w:rsidRPr="006F448E">
              <w:rPr>
                <w:rFonts w:ascii="Arial Narrow" w:hAnsi="Arial Narrow" w:cs="Arial"/>
                <w:sz w:val="20"/>
                <w:szCs w:val="20"/>
              </w:rPr>
              <w:t xml:space="preserve">Fire Safety </w:t>
            </w:r>
            <w:r>
              <w:rPr>
                <w:rFonts w:ascii="Arial Narrow" w:hAnsi="Arial Narrow" w:cs="Arial"/>
                <w:sz w:val="20"/>
                <w:szCs w:val="20"/>
              </w:rPr>
              <w:t xml:space="preserve">Annual Compliance Report </w:t>
            </w:r>
            <w:r w:rsidRPr="006F448E">
              <w:rPr>
                <w:rFonts w:ascii="Arial Narrow" w:hAnsi="Arial Narrow" w:cs="Arial"/>
                <w:sz w:val="20"/>
                <w:szCs w:val="20"/>
              </w:rPr>
              <w:t xml:space="preserve">and the </w:t>
            </w:r>
            <w:proofErr w:type="spellStart"/>
            <w:r w:rsidRPr="006F448E">
              <w:rPr>
                <w:rFonts w:ascii="Arial Narrow" w:hAnsi="Arial Narrow" w:cs="Arial"/>
                <w:sz w:val="20"/>
                <w:szCs w:val="20"/>
              </w:rPr>
              <w:t>Clery</w:t>
            </w:r>
            <w:proofErr w:type="spellEnd"/>
            <w:r w:rsidRPr="006F448E">
              <w:rPr>
                <w:rFonts w:ascii="Arial Narrow" w:hAnsi="Arial Narrow" w:cs="Arial"/>
                <w:sz w:val="20"/>
                <w:szCs w:val="20"/>
              </w:rPr>
              <w:t xml:space="preserve"> Act</w:t>
            </w:r>
            <w:r>
              <w:rPr>
                <w:rFonts w:ascii="Arial Narrow" w:hAnsi="Arial Narrow" w:cs="Arial"/>
                <w:sz w:val="20"/>
                <w:szCs w:val="20"/>
              </w:rPr>
              <w:t>)</w:t>
            </w:r>
            <w:r w:rsidRPr="000B26F5">
              <w:rPr>
                <w:rFonts w:ascii="Arial Narrow" w:hAnsi="Arial Narrow" w:cs="Arial"/>
                <w:sz w:val="20"/>
                <w:szCs w:val="20"/>
              </w:rPr>
              <w:t xml:space="preserve"> to the</w:t>
            </w:r>
            <w:r>
              <w:rPr>
                <w:rFonts w:ascii="Arial Narrow" w:hAnsi="Arial Narrow" w:cs="Arial"/>
                <w:sz w:val="20"/>
                <w:szCs w:val="20"/>
              </w:rPr>
              <w:t xml:space="preserve"> university community prior to 10</w:t>
            </w:r>
            <w:r w:rsidRPr="000B26F5">
              <w:rPr>
                <w:rFonts w:ascii="Arial Narrow" w:hAnsi="Arial Narrow" w:cs="Arial"/>
                <w:sz w:val="20"/>
                <w:szCs w:val="20"/>
              </w:rPr>
              <w:t>/1/201</w:t>
            </w:r>
            <w:r w:rsidR="005B30A0">
              <w:rPr>
                <w:rFonts w:ascii="Arial Narrow" w:hAnsi="Arial Narrow" w:cs="Arial"/>
                <w:sz w:val="20"/>
                <w:szCs w:val="20"/>
              </w:rPr>
              <w:t>3</w:t>
            </w:r>
            <w:r w:rsidRPr="000B26F5">
              <w:rPr>
                <w:rFonts w:ascii="Arial Narrow" w:hAnsi="Arial Narrow" w:cs="Arial"/>
                <w:sz w:val="20"/>
                <w:szCs w:val="20"/>
              </w:rPr>
              <w:t>.</w:t>
            </w:r>
          </w:p>
          <w:p w:rsidR="005B485A" w:rsidRPr="000B26F5" w:rsidRDefault="005B485A" w:rsidP="005B485A">
            <w:pPr>
              <w:rPr>
                <w:rFonts w:ascii="Arial Narrow" w:hAnsi="Arial Narrow"/>
                <w:sz w:val="20"/>
                <w:szCs w:val="20"/>
              </w:rPr>
            </w:pPr>
            <w:r w:rsidRPr="000B26F5">
              <w:rPr>
                <w:rFonts w:ascii="Arial Narrow" w:hAnsi="Arial Narrow" w:cs="Arial"/>
                <w:sz w:val="20"/>
                <w:szCs w:val="20"/>
              </w:rPr>
              <w:t>1</w:t>
            </w:r>
            <w:r>
              <w:rPr>
                <w:rFonts w:ascii="Arial Narrow" w:hAnsi="Arial Narrow" w:cs="Arial"/>
                <w:sz w:val="20"/>
                <w:szCs w:val="20"/>
              </w:rPr>
              <w:t>e</w:t>
            </w:r>
            <w:r w:rsidRPr="000B26F5">
              <w:rPr>
                <w:rFonts w:ascii="Arial Narrow" w:hAnsi="Arial Narrow" w:cs="Arial"/>
                <w:sz w:val="20"/>
                <w:szCs w:val="20"/>
              </w:rPr>
              <w:t>. Crime and Fire Statistics submitted to the Department of Education by 10/1/201</w:t>
            </w:r>
            <w:r w:rsidR="005B30A0">
              <w:rPr>
                <w:rFonts w:ascii="Arial Narrow" w:hAnsi="Arial Narrow" w:cs="Arial"/>
                <w:sz w:val="20"/>
                <w:szCs w:val="20"/>
              </w:rPr>
              <w:t>3</w:t>
            </w:r>
            <w:r w:rsidRPr="000B26F5">
              <w:rPr>
                <w:rFonts w:ascii="Arial Narrow" w:hAnsi="Arial Narrow" w:cs="Arial"/>
                <w:sz w:val="20"/>
                <w:szCs w:val="20"/>
              </w:rPr>
              <w:t>.</w:t>
            </w:r>
          </w:p>
          <w:p w:rsidR="00254735" w:rsidRPr="00431236" w:rsidRDefault="00254735" w:rsidP="000A1CAE">
            <w:pPr>
              <w:rPr>
                <w:rFonts w:ascii="Arial Narrow" w:hAnsi="Arial Narrow"/>
              </w:rPr>
            </w:pP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5B30A0">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5B30A0">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5B30A0">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5B30A0">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B30A0">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B30A0">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5B30A0">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5B30A0">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5B30A0">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5B30A0">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B30A0">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B30A0">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9651B9" w:rsidRPr="00972B3B"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r w:rsidR="005B485A">
              <w:rPr>
                <w:rFonts w:ascii="Arial Narrow" w:hAnsi="Arial Narrow"/>
                <w:sz w:val="22"/>
                <w:szCs w:val="22"/>
              </w:rPr>
              <w:t xml:space="preserve">  </w:t>
            </w:r>
            <w:r w:rsidR="005B485A" w:rsidRPr="00972B3B">
              <w:rPr>
                <w:rFonts w:ascii="Arial Narrow" w:hAnsi="Arial Narrow"/>
                <w:sz w:val="20"/>
                <w:szCs w:val="22"/>
              </w:rPr>
              <w:t xml:space="preserve">The NMU Public Safety Institute offers in-service training programs throughout the Upper Peninsula for Law Enforcement officers.  </w:t>
            </w:r>
            <w:r w:rsidR="000F7FE1" w:rsidRPr="00972B3B">
              <w:rPr>
                <w:rFonts w:ascii="Arial Narrow" w:hAnsi="Arial Narrow"/>
                <w:sz w:val="20"/>
                <w:szCs w:val="22"/>
              </w:rPr>
              <w:t xml:space="preserve">The objective will be to determine if </w:t>
            </w:r>
            <w:r w:rsidR="009651B9" w:rsidRPr="00972B3B">
              <w:rPr>
                <w:rFonts w:ascii="Arial Narrow" w:hAnsi="Arial Narrow"/>
                <w:sz w:val="20"/>
                <w:szCs w:val="22"/>
              </w:rPr>
              <w:t xml:space="preserve">these programs meet the needs of the </w:t>
            </w:r>
            <w:r w:rsidR="000F7FE1" w:rsidRPr="00972B3B">
              <w:rPr>
                <w:rFonts w:ascii="Arial Narrow" w:hAnsi="Arial Narrow"/>
                <w:sz w:val="20"/>
                <w:szCs w:val="22"/>
              </w:rPr>
              <w:t>law enforcement agencies throughout the Upper Peninsula.</w:t>
            </w:r>
          </w:p>
          <w:p w:rsidR="009651B9" w:rsidRPr="00972B3B" w:rsidRDefault="009651B9" w:rsidP="0036346B">
            <w:pPr>
              <w:rPr>
                <w:rFonts w:ascii="Arial Narrow" w:hAnsi="Arial Narrow"/>
              </w:rPr>
            </w:pPr>
          </w:p>
          <w:p w:rsidR="007C53D1" w:rsidRPr="00B33479" w:rsidRDefault="007C53D1" w:rsidP="0036346B">
            <w:pPr>
              <w:rPr>
                <w:rFonts w:ascii="Arial Narrow" w:hAnsi="Arial Narrow"/>
              </w:rPr>
            </w:pP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7C53D1" w:rsidP="0036346B">
            <w:pPr>
              <w:rPr>
                <w:rFonts w:ascii="Arial Narrow" w:hAnsi="Arial Narrow"/>
              </w:rPr>
            </w:pPr>
            <w:r w:rsidRPr="00431236">
              <w:rPr>
                <w:rFonts w:ascii="Arial Narrow" w:hAnsi="Arial Narrow"/>
                <w:sz w:val="20"/>
                <w:szCs w:val="22"/>
                <w:u w:val="single"/>
              </w:rPr>
              <w:lastRenderedPageBreak/>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5B30A0">
              <w:rPr>
                <w:rFonts w:ascii="Arial Narrow" w:hAnsi="Arial Narrow"/>
                <w:sz w:val="20"/>
                <w:szCs w:val="22"/>
                <w:u w:val="single"/>
              </w:rPr>
              <w:sym w:font="Wingdings" w:char="F0FE"/>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5B30A0">
              <w:rPr>
                <w:rFonts w:ascii="Arial Narrow" w:hAnsi="Arial Narrow"/>
                <w:i/>
                <w:sz w:val="20"/>
                <w:szCs w:val="20"/>
              </w:rPr>
              <w:t xml:space="preserve">Categories 2, 3, </w:t>
            </w:r>
            <w:r w:rsidR="000F7FE1">
              <w:rPr>
                <w:rFonts w:ascii="Arial Narrow" w:hAnsi="Arial Narrow"/>
                <w:i/>
                <w:sz w:val="20"/>
                <w:szCs w:val="20"/>
              </w:rPr>
              <w:t>9</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0F7FE1">
              <w:rPr>
                <w:rFonts w:ascii="Arial Narrow" w:hAnsi="Arial Narrow"/>
                <w:sz w:val="22"/>
                <w:szCs w:val="22"/>
              </w:rPr>
              <w:t>CE-1 and CE-4</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972B3B" w:rsidRDefault="007C53D1" w:rsidP="0036346B">
            <w:pPr>
              <w:pStyle w:val="Default"/>
              <w:rPr>
                <w:rFonts w:ascii="Arial Narrow" w:hAnsi="Arial Narrow"/>
                <w:sz w:val="20"/>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r w:rsidR="00972B3B" w:rsidRPr="00972B3B">
              <w:rPr>
                <w:rFonts w:ascii="Arial Narrow" w:hAnsi="Arial Narrow"/>
                <w:sz w:val="20"/>
                <w:szCs w:val="22"/>
              </w:rPr>
              <w:t xml:space="preserve"> </w:t>
            </w:r>
          </w:p>
          <w:p w:rsidR="007C53D1" w:rsidRPr="009860CD" w:rsidRDefault="00972B3B" w:rsidP="0036346B">
            <w:pPr>
              <w:pStyle w:val="Default"/>
              <w:rPr>
                <w:rFonts w:ascii="Arial Narrow" w:hAnsi="Arial Narrow" w:cs="Arial"/>
                <w:sz w:val="22"/>
                <w:szCs w:val="22"/>
              </w:rPr>
            </w:pPr>
            <w:r w:rsidRPr="00972B3B">
              <w:rPr>
                <w:rFonts w:ascii="Arial Narrow" w:hAnsi="Arial Narrow"/>
                <w:sz w:val="20"/>
                <w:szCs w:val="22"/>
              </w:rPr>
              <w:t xml:space="preserve">A survey of the departments needs is sent out annually and a list of training is developed to meet as many of the needs as possible.  The funding for the majority of this effort is attained through a competitive grant process through the Michigan Commission on Law Enforcement Standards.   The grant cycle for these programs is January through December.  We have filled a position in that area that had been previously not filled due to a resignation.  </w:t>
            </w:r>
          </w:p>
          <w:p w:rsidR="007C53D1" w:rsidRPr="00972B3B" w:rsidRDefault="007C53D1" w:rsidP="0036346B">
            <w:pPr>
              <w:pStyle w:val="Default"/>
              <w:rPr>
                <w:rFonts w:ascii="Arial Narrow" w:hAnsi="Arial Narrow" w:cs="Arial"/>
                <w:sz w:val="20"/>
                <w:szCs w:val="20"/>
              </w:rPr>
            </w:pPr>
            <w:r w:rsidRPr="00972B3B">
              <w:rPr>
                <w:rFonts w:ascii="Arial Narrow" w:hAnsi="Arial Narrow" w:cs="Arial"/>
                <w:sz w:val="20"/>
                <w:szCs w:val="20"/>
              </w:rPr>
              <w:t>a.</w:t>
            </w:r>
            <w:r w:rsidR="005B30A0" w:rsidRPr="00972B3B">
              <w:rPr>
                <w:rFonts w:ascii="Arial Narrow" w:hAnsi="Arial Narrow" w:cs="Arial"/>
                <w:sz w:val="20"/>
                <w:szCs w:val="20"/>
              </w:rPr>
              <w:t xml:space="preserve"> Send survey to departments for the 2013 grant cycle.</w:t>
            </w:r>
          </w:p>
          <w:p w:rsidR="007C53D1" w:rsidRPr="00972B3B" w:rsidRDefault="007C53D1" w:rsidP="0036346B">
            <w:pPr>
              <w:pStyle w:val="Default"/>
              <w:rPr>
                <w:rFonts w:ascii="Arial Narrow" w:hAnsi="Arial Narrow" w:cs="Arial"/>
                <w:sz w:val="20"/>
                <w:szCs w:val="20"/>
              </w:rPr>
            </w:pPr>
            <w:r w:rsidRPr="00972B3B">
              <w:rPr>
                <w:rFonts w:ascii="Arial Narrow" w:hAnsi="Arial Narrow" w:cs="Arial"/>
                <w:sz w:val="20"/>
                <w:szCs w:val="20"/>
              </w:rPr>
              <w:t>b.</w:t>
            </w:r>
            <w:r w:rsidR="005B30A0" w:rsidRPr="00972B3B">
              <w:rPr>
                <w:rFonts w:ascii="Arial Narrow" w:hAnsi="Arial Narrow" w:cs="Arial"/>
                <w:sz w:val="20"/>
                <w:szCs w:val="20"/>
              </w:rPr>
              <w:t xml:space="preserve"> Author grant and submit to MCOLES by 08/31/2012</w:t>
            </w:r>
            <w:r w:rsidR="0007549A" w:rsidRPr="00972B3B">
              <w:rPr>
                <w:rFonts w:ascii="Arial Narrow" w:hAnsi="Arial Narrow" w:cs="Arial"/>
                <w:sz w:val="20"/>
                <w:szCs w:val="20"/>
              </w:rPr>
              <w:t>.</w:t>
            </w:r>
          </w:p>
          <w:p w:rsidR="0007549A" w:rsidRPr="00972B3B" w:rsidRDefault="0007549A" w:rsidP="0036346B">
            <w:pPr>
              <w:pStyle w:val="Default"/>
              <w:rPr>
                <w:rFonts w:ascii="Arial Narrow" w:hAnsi="Arial Narrow" w:cs="Arial"/>
                <w:sz w:val="20"/>
                <w:szCs w:val="20"/>
              </w:rPr>
            </w:pPr>
            <w:r w:rsidRPr="00972B3B">
              <w:rPr>
                <w:rFonts w:ascii="Arial Narrow" w:hAnsi="Arial Narrow" w:cs="Arial"/>
                <w:sz w:val="20"/>
                <w:szCs w:val="20"/>
              </w:rPr>
              <w:t xml:space="preserve">c. Identify other training through non-grant funded opportunities to </w:t>
            </w:r>
            <w:r w:rsidRPr="00972B3B">
              <w:rPr>
                <w:rFonts w:ascii="Arial Narrow" w:hAnsi="Arial Narrow" w:cs="Arial"/>
                <w:sz w:val="20"/>
                <w:szCs w:val="20"/>
              </w:rPr>
              <w:lastRenderedPageBreak/>
              <w:t>meet the training needs of the region.</w:t>
            </w:r>
          </w:p>
          <w:p w:rsidR="007C53D1" w:rsidRPr="00972B3B" w:rsidRDefault="0007549A" w:rsidP="0036346B">
            <w:pPr>
              <w:pStyle w:val="Default"/>
              <w:rPr>
                <w:rFonts w:ascii="Arial Narrow" w:hAnsi="Arial Narrow" w:cs="Arial"/>
                <w:sz w:val="20"/>
                <w:szCs w:val="20"/>
              </w:rPr>
            </w:pPr>
            <w:r w:rsidRPr="00972B3B">
              <w:rPr>
                <w:rFonts w:ascii="Arial Narrow" w:hAnsi="Arial Narrow" w:cs="Arial"/>
                <w:sz w:val="20"/>
                <w:szCs w:val="20"/>
              </w:rPr>
              <w:t>d</w:t>
            </w:r>
            <w:r w:rsidR="007C53D1" w:rsidRPr="00972B3B">
              <w:rPr>
                <w:rFonts w:ascii="Arial Narrow" w:hAnsi="Arial Narrow" w:cs="Arial"/>
                <w:sz w:val="20"/>
                <w:szCs w:val="20"/>
              </w:rPr>
              <w:t xml:space="preserve">. </w:t>
            </w:r>
            <w:r w:rsidR="005B30A0" w:rsidRPr="00972B3B">
              <w:rPr>
                <w:rFonts w:ascii="Arial Narrow" w:hAnsi="Arial Narrow" w:cs="Arial"/>
                <w:sz w:val="20"/>
                <w:szCs w:val="20"/>
              </w:rPr>
              <w:t xml:space="preserve">Conduct training from the courses requested through the departments.  </w:t>
            </w:r>
            <w:r w:rsidR="000F7FE1" w:rsidRPr="00972B3B">
              <w:rPr>
                <w:rFonts w:ascii="Arial Narrow" w:hAnsi="Arial Narrow" w:cs="Arial"/>
                <w:sz w:val="20"/>
                <w:szCs w:val="20"/>
              </w:rPr>
              <w:t xml:space="preserve"> 01/01/13 – 12/31/13</w:t>
            </w:r>
          </w:p>
          <w:p w:rsidR="005B30A0" w:rsidRPr="00972B3B" w:rsidRDefault="0007549A" w:rsidP="0036346B">
            <w:pPr>
              <w:pStyle w:val="Default"/>
              <w:rPr>
                <w:rFonts w:ascii="Arial Narrow" w:hAnsi="Arial Narrow" w:cs="Arial"/>
                <w:sz w:val="20"/>
                <w:szCs w:val="20"/>
              </w:rPr>
            </w:pPr>
            <w:r w:rsidRPr="00972B3B">
              <w:rPr>
                <w:rFonts w:ascii="Arial Narrow" w:hAnsi="Arial Narrow" w:cs="Arial"/>
                <w:sz w:val="20"/>
                <w:szCs w:val="20"/>
              </w:rPr>
              <w:t>e. Survey</w:t>
            </w:r>
            <w:r w:rsidR="000F7FE1" w:rsidRPr="00972B3B">
              <w:rPr>
                <w:rFonts w:ascii="Arial Narrow" w:hAnsi="Arial Narrow" w:cs="Arial"/>
                <w:sz w:val="20"/>
                <w:szCs w:val="20"/>
              </w:rPr>
              <w:t xml:space="preserve"> participants of the training to determine satisfaction of the training programs.</w:t>
            </w:r>
          </w:p>
          <w:p w:rsidR="00BB69C5" w:rsidRPr="00972B3B" w:rsidRDefault="00BB69C5" w:rsidP="0036346B">
            <w:pPr>
              <w:pStyle w:val="Default"/>
              <w:rPr>
                <w:rFonts w:ascii="Arial Narrow" w:hAnsi="Arial Narrow" w:cs="Arial"/>
                <w:sz w:val="20"/>
                <w:szCs w:val="20"/>
              </w:rPr>
            </w:pPr>
            <w:proofErr w:type="gramStart"/>
            <w:r w:rsidRPr="00972B3B">
              <w:rPr>
                <w:rFonts w:ascii="Arial Narrow" w:hAnsi="Arial Narrow" w:cs="Arial"/>
                <w:sz w:val="20"/>
                <w:szCs w:val="20"/>
              </w:rPr>
              <w:t>f.  Survey</w:t>
            </w:r>
            <w:proofErr w:type="gramEnd"/>
            <w:r w:rsidRPr="00972B3B">
              <w:rPr>
                <w:rFonts w:ascii="Arial Narrow" w:hAnsi="Arial Narrow" w:cs="Arial"/>
                <w:sz w:val="20"/>
                <w:szCs w:val="20"/>
              </w:rPr>
              <w:t xml:space="preserve"> departments to determine if their needs have been met.</w:t>
            </w:r>
          </w:p>
          <w:p w:rsidR="007C53D1" w:rsidRPr="00972B3B" w:rsidRDefault="007C53D1" w:rsidP="0036346B">
            <w:pPr>
              <w:pStyle w:val="Default"/>
              <w:rPr>
                <w:rFonts w:ascii="Arial Narrow" w:hAnsi="Arial Narrow" w:cs="Arial"/>
                <w:sz w:val="20"/>
                <w:szCs w:val="20"/>
              </w:rPr>
            </w:pPr>
          </w:p>
          <w:p w:rsidR="00824F9B" w:rsidRPr="00972B3B" w:rsidRDefault="007C53D1" w:rsidP="00B33479">
            <w:pPr>
              <w:pStyle w:val="Default"/>
              <w:rPr>
                <w:rFonts w:ascii="Arial Narrow" w:hAnsi="Arial Narrow" w:cs="Arial"/>
                <w:sz w:val="20"/>
                <w:szCs w:val="20"/>
              </w:rPr>
            </w:pPr>
            <w:r w:rsidRPr="00972B3B">
              <w:rPr>
                <w:rFonts w:ascii="Arial Narrow" w:hAnsi="Arial Narrow" w:cs="Arial"/>
                <w:i/>
                <w:sz w:val="20"/>
                <w:szCs w:val="20"/>
              </w:rPr>
              <w:t xml:space="preserve">Beyond completing the </w:t>
            </w:r>
            <w:r w:rsidR="00055B6F" w:rsidRPr="00972B3B">
              <w:rPr>
                <w:rFonts w:ascii="Arial Narrow" w:hAnsi="Arial Narrow" w:cs="Arial"/>
                <w:i/>
                <w:sz w:val="20"/>
                <w:szCs w:val="20"/>
              </w:rPr>
              <w:t xml:space="preserve">above </w:t>
            </w:r>
            <w:r w:rsidRPr="00972B3B">
              <w:rPr>
                <w:rFonts w:ascii="Arial Narrow" w:hAnsi="Arial Narrow" w:cs="Arial"/>
                <w:i/>
                <w:sz w:val="20"/>
                <w:szCs w:val="20"/>
              </w:rPr>
              <w:t xml:space="preserve">steps, how will you </w:t>
            </w:r>
            <w:r w:rsidR="009B18C4" w:rsidRPr="00972B3B">
              <w:rPr>
                <w:rFonts w:ascii="Arial Narrow" w:hAnsi="Arial Narrow" w:cs="Arial"/>
                <w:i/>
                <w:sz w:val="20"/>
                <w:szCs w:val="20"/>
              </w:rPr>
              <w:t xml:space="preserve">judge whether </w:t>
            </w:r>
            <w:r w:rsidRPr="00972B3B">
              <w:rPr>
                <w:rFonts w:ascii="Arial Narrow" w:hAnsi="Arial Narrow" w:cs="Arial"/>
                <w:i/>
                <w:sz w:val="20"/>
                <w:szCs w:val="20"/>
              </w:rPr>
              <w:t>the objective was a success</w:t>
            </w:r>
            <w:r w:rsidR="009B18C4" w:rsidRPr="00972B3B">
              <w:rPr>
                <w:rFonts w:ascii="Arial Narrow" w:hAnsi="Arial Narrow" w:cs="Arial"/>
                <w:i/>
                <w:sz w:val="20"/>
                <w:szCs w:val="20"/>
              </w:rPr>
              <w:t>?</w:t>
            </w:r>
            <w:r w:rsidR="00824F9B" w:rsidRPr="00972B3B">
              <w:rPr>
                <w:rFonts w:ascii="Arial Narrow" w:hAnsi="Arial Narrow" w:cs="Arial"/>
                <w:i/>
                <w:sz w:val="20"/>
                <w:szCs w:val="20"/>
              </w:rPr>
              <w:t xml:space="preserve"> </w:t>
            </w:r>
            <w:r w:rsidR="009B18C4" w:rsidRPr="00972B3B">
              <w:rPr>
                <w:rFonts w:ascii="Arial Narrow" w:hAnsi="Arial Narrow" w:cs="Arial"/>
                <w:i/>
                <w:sz w:val="20"/>
                <w:szCs w:val="20"/>
              </w:rPr>
              <w:t>Ex</w:t>
            </w:r>
            <w:r w:rsidR="00122E20" w:rsidRPr="00972B3B">
              <w:rPr>
                <w:rFonts w:ascii="Arial Narrow" w:hAnsi="Arial Narrow" w:cs="Arial"/>
                <w:i/>
                <w:sz w:val="20"/>
                <w:szCs w:val="20"/>
              </w:rPr>
              <w:t>amples:</w:t>
            </w:r>
            <w:r w:rsidR="00C63E27" w:rsidRPr="00972B3B">
              <w:rPr>
                <w:rFonts w:ascii="Arial Narrow" w:hAnsi="Arial Narrow" w:cs="Arial"/>
                <w:i/>
                <w:sz w:val="20"/>
                <w:szCs w:val="20"/>
              </w:rPr>
              <w:t xml:space="preserve"> If t</w:t>
            </w:r>
            <w:r w:rsidR="009B18C4" w:rsidRPr="00972B3B">
              <w:rPr>
                <w:rFonts w:ascii="Arial Narrow" w:hAnsi="Arial Narrow" w:cs="Arial"/>
                <w:i/>
                <w:sz w:val="20"/>
                <w:szCs w:val="20"/>
              </w:rPr>
              <w:t xml:space="preserve">he rationale was Efficiency/cost, </w:t>
            </w:r>
            <w:r w:rsidRPr="00972B3B">
              <w:rPr>
                <w:rFonts w:ascii="Arial Narrow" w:hAnsi="Arial Narrow" w:cs="Arial"/>
                <w:i/>
                <w:sz w:val="20"/>
                <w:szCs w:val="20"/>
              </w:rPr>
              <w:t xml:space="preserve">what </w:t>
            </w:r>
            <w:proofErr w:type="gramStart"/>
            <w:r w:rsidRPr="00972B3B">
              <w:rPr>
                <w:rFonts w:ascii="Arial Narrow" w:hAnsi="Arial Narrow" w:cs="Arial"/>
                <w:i/>
                <w:sz w:val="20"/>
                <w:szCs w:val="20"/>
              </w:rPr>
              <w:t>is the desired and/or minimum target criteria</w:t>
            </w:r>
            <w:proofErr w:type="gramEnd"/>
            <w:r w:rsidRPr="00972B3B">
              <w:rPr>
                <w:rFonts w:ascii="Arial Narrow" w:hAnsi="Arial Narrow" w:cs="Arial"/>
                <w:i/>
                <w:sz w:val="20"/>
                <w:szCs w:val="20"/>
              </w:rPr>
              <w:t xml:space="preserve"> </w:t>
            </w:r>
            <w:r w:rsidR="00122E20" w:rsidRPr="00972B3B">
              <w:rPr>
                <w:rFonts w:ascii="Arial Narrow" w:hAnsi="Arial Narrow" w:cs="Arial"/>
                <w:i/>
                <w:sz w:val="20"/>
                <w:szCs w:val="20"/>
              </w:rPr>
              <w:t xml:space="preserve">for savings in time or cost? If the rationale was Satisfaction, what </w:t>
            </w:r>
            <w:proofErr w:type="gramStart"/>
            <w:r w:rsidR="00122E20" w:rsidRPr="00972B3B">
              <w:rPr>
                <w:rFonts w:ascii="Arial Narrow" w:hAnsi="Arial Narrow" w:cs="Arial"/>
                <w:i/>
                <w:sz w:val="20"/>
                <w:szCs w:val="20"/>
              </w:rPr>
              <w:t>is</w:t>
            </w:r>
            <w:proofErr w:type="gramEnd"/>
            <w:r w:rsidR="00122E20" w:rsidRPr="00972B3B">
              <w:rPr>
                <w:rFonts w:ascii="Arial Narrow" w:hAnsi="Arial Narrow" w:cs="Arial"/>
                <w:i/>
                <w:sz w:val="20"/>
                <w:szCs w:val="20"/>
              </w:rPr>
              <w:t xml:space="preserve"> the measure and what increase is desired</w:t>
            </w:r>
            <w:r w:rsidR="00122E20" w:rsidRPr="00972B3B">
              <w:rPr>
                <w:rFonts w:ascii="Arial Narrow" w:hAnsi="Arial Narrow" w:cs="Arial"/>
                <w:sz w:val="20"/>
                <w:szCs w:val="20"/>
              </w:rPr>
              <w:t>?</w:t>
            </w:r>
          </w:p>
          <w:p w:rsidR="00B33479" w:rsidRPr="00972B3B" w:rsidRDefault="00B33479" w:rsidP="00B33479">
            <w:pPr>
              <w:pStyle w:val="Default"/>
              <w:rPr>
                <w:rFonts w:ascii="Arial Narrow" w:hAnsi="Arial Narrow"/>
                <w:sz w:val="20"/>
                <w:szCs w:val="20"/>
              </w:rPr>
            </w:pPr>
          </w:p>
          <w:p w:rsidR="00972B3B" w:rsidRDefault="0007549A" w:rsidP="00972B3B">
            <w:pPr>
              <w:rPr>
                <w:rFonts w:ascii="Arial Narrow" w:hAnsi="Arial Narrow"/>
              </w:rPr>
            </w:pPr>
            <w:r w:rsidRPr="00972B3B">
              <w:rPr>
                <w:rFonts w:ascii="Arial Narrow" w:hAnsi="Arial Narrow"/>
                <w:sz w:val="20"/>
                <w:szCs w:val="20"/>
              </w:rPr>
              <w:t>The determination of whether the objective has been met will be determined by the participant survey results.  A compilation of each class will be provided and the results will show whether or not the course</w:t>
            </w:r>
            <w:r w:rsidR="00BB69C5" w:rsidRPr="00972B3B">
              <w:rPr>
                <w:rFonts w:ascii="Arial Narrow" w:hAnsi="Arial Narrow"/>
                <w:sz w:val="20"/>
                <w:szCs w:val="20"/>
              </w:rPr>
              <w:t xml:space="preserve"> met the objectives and if the officer’s felt it met their expectations.</w:t>
            </w:r>
            <w:r w:rsidRPr="00972B3B">
              <w:rPr>
                <w:rFonts w:ascii="Arial Narrow" w:hAnsi="Arial Narrow"/>
                <w:sz w:val="20"/>
                <w:szCs w:val="20"/>
              </w:rPr>
              <w:t xml:space="preserve">  With the filling of the PSI Training Coordinator’s position, we would expect to see an increase in course offerings and participation.</w:t>
            </w:r>
            <w:r w:rsidR="00BB69C5">
              <w:rPr>
                <w:rFonts w:ascii="Arial Narrow" w:hAnsi="Arial Narrow"/>
                <w:sz w:val="22"/>
                <w:szCs w:val="22"/>
              </w:rPr>
              <w:t xml:space="preserve">  </w:t>
            </w:r>
          </w:p>
          <w:p w:rsidR="00972B3B" w:rsidRDefault="00972B3B" w:rsidP="00972B3B">
            <w:pPr>
              <w:rPr>
                <w:rFonts w:ascii="Arial Narrow" w:hAnsi="Arial Narrow"/>
              </w:rPr>
            </w:pPr>
          </w:p>
          <w:p w:rsidR="0007549A" w:rsidRPr="009860CD" w:rsidRDefault="00972B3B" w:rsidP="00972B3B">
            <w:pPr>
              <w:rPr>
                <w:rFonts w:ascii="Arial Narrow" w:hAnsi="Arial Narrow"/>
              </w:rPr>
            </w:pPr>
            <w:r w:rsidRPr="00972B3B">
              <w:rPr>
                <w:rFonts w:ascii="Arial Narrow" w:hAnsi="Arial Narrow"/>
                <w:sz w:val="20"/>
                <w:szCs w:val="22"/>
              </w:rPr>
              <w:t xml:space="preserve">The results of this objective will be provided to the Systems Portfolio under Public Safety and Police Services. </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5B30A0">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5B30A0">
            <w:pPr>
              <w:rPr>
                <w:rFonts w:ascii="Arial Narrow" w:hAnsi="Arial Narrow" w:cs="Arial"/>
              </w:rPr>
            </w:pPr>
          </w:p>
        </w:tc>
        <w:tc>
          <w:tcPr>
            <w:tcW w:w="2427" w:type="pct"/>
            <w:tcBorders>
              <w:top w:val="nil"/>
              <w:left w:val="nil"/>
              <w:bottom w:val="nil"/>
              <w:right w:val="nil"/>
            </w:tcBorders>
          </w:tcPr>
          <w:p w:rsidR="00A07684" w:rsidRDefault="00A07684" w:rsidP="005B30A0">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5B30A0">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5B30A0">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5B30A0">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5B30A0">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5B30A0">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5B30A0">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972B3B" w:rsidRDefault="00972B3B" w:rsidP="00FE3472">
      <w:pPr>
        <w:outlineLvl w:val="0"/>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B30A0">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5B30A0">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B30A0">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5B30A0">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5B30A0">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5B30A0">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1"/>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76" w:rsidRDefault="00DD5076" w:rsidP="00CC0C16">
      <w:r>
        <w:separator/>
      </w:r>
    </w:p>
  </w:endnote>
  <w:endnote w:type="continuationSeparator" w:id="0">
    <w:p w:rsidR="00DD5076" w:rsidRDefault="00DD5076" w:rsidP="00CC0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C5" w:rsidRPr="00216099" w:rsidRDefault="00BB69C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5A292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5A292F" w:rsidRPr="004304D6">
          <w:rPr>
            <w:rFonts w:asciiTheme="minorHAnsi" w:hAnsiTheme="minorHAnsi" w:cstheme="minorHAnsi"/>
            <w:sz w:val="18"/>
          </w:rPr>
          <w:fldChar w:fldCharType="separate"/>
        </w:r>
        <w:r w:rsidR="00B15104">
          <w:rPr>
            <w:rFonts w:asciiTheme="minorHAnsi" w:hAnsiTheme="minorHAnsi" w:cstheme="minorHAnsi"/>
            <w:noProof/>
            <w:sz w:val="18"/>
          </w:rPr>
          <w:t>1</w:t>
        </w:r>
        <w:r w:rsidR="005A292F"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76" w:rsidRDefault="00DD5076" w:rsidP="00CC0C16">
      <w:r>
        <w:separator/>
      </w:r>
    </w:p>
  </w:footnote>
  <w:footnote w:type="continuationSeparator" w:id="0">
    <w:p w:rsidR="00DD5076" w:rsidRDefault="00DD5076"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13B3B"/>
    <w:multiLevelType w:val="hybridMultilevel"/>
    <w:tmpl w:val="4E88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49A"/>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A347A"/>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0F7FE1"/>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3D7D"/>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1A05"/>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92F"/>
    <w:rsid w:val="005A2C6A"/>
    <w:rsid w:val="005A2EB5"/>
    <w:rsid w:val="005A4FFD"/>
    <w:rsid w:val="005B03AA"/>
    <w:rsid w:val="005B12E4"/>
    <w:rsid w:val="005B21B6"/>
    <w:rsid w:val="005B30A0"/>
    <w:rsid w:val="005B36EB"/>
    <w:rsid w:val="005B416B"/>
    <w:rsid w:val="005B485A"/>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A09"/>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114D"/>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1B9"/>
    <w:rsid w:val="009654CD"/>
    <w:rsid w:val="00965F73"/>
    <w:rsid w:val="00967728"/>
    <w:rsid w:val="00967BF5"/>
    <w:rsid w:val="00971423"/>
    <w:rsid w:val="00972106"/>
    <w:rsid w:val="00972329"/>
    <w:rsid w:val="00972B3B"/>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04"/>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66768"/>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B69C5"/>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5076"/>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hyperlink" Target="http://www.nmu.edu/aqip"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884C-2EF3-4478-ABCA-23F96EEB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2</cp:revision>
  <dcterms:created xsi:type="dcterms:W3CDTF">2012-09-26T13:36:00Z</dcterms:created>
  <dcterms:modified xsi:type="dcterms:W3CDTF">2012-09-26T13:36:00Z</dcterms:modified>
</cp:coreProperties>
</file>