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DC" w:rsidRPr="004A120A" w:rsidRDefault="007952DC" w:rsidP="007952DC">
      <w:pPr>
        <w:spacing w:after="200"/>
        <w:jc w:val="center"/>
        <w:rPr>
          <w:rFonts w:ascii="Arial Narrow" w:eastAsia="Calibri" w:hAnsi="Arial Narrow"/>
          <w:b/>
          <w:sz w:val="20"/>
          <w:szCs w:val="20"/>
        </w:rPr>
      </w:pPr>
      <w:r w:rsidRPr="004A120A">
        <w:rPr>
          <w:rFonts w:ascii="Arial Narrow" w:eastAsia="Calibri" w:hAnsi="Arial Narrow"/>
          <w:b/>
          <w:sz w:val="20"/>
          <w:szCs w:val="20"/>
        </w:rPr>
        <w:t>Improvement Plan Feedback 2012</w:t>
      </w:r>
    </w:p>
    <w:p w:rsidR="007952DC" w:rsidRPr="004A120A" w:rsidRDefault="007952DC" w:rsidP="007952DC">
      <w:pPr>
        <w:spacing w:after="200"/>
        <w:jc w:val="center"/>
        <w:rPr>
          <w:rFonts w:ascii="Arial Narrow" w:eastAsia="Calibri" w:hAnsi="Arial Narrow"/>
          <w:b/>
          <w:sz w:val="20"/>
          <w:szCs w:val="20"/>
        </w:rPr>
      </w:pPr>
      <w:r w:rsidRPr="004A120A">
        <w:rPr>
          <w:rFonts w:ascii="Arial Narrow" w:eastAsia="Calibri" w:hAnsi="Arial Narrow"/>
          <w:b/>
          <w:sz w:val="20"/>
          <w:szCs w:val="20"/>
        </w:rPr>
        <w:t>For</w:t>
      </w:r>
      <w:r w:rsidRPr="004A120A">
        <w:rPr>
          <w:rFonts w:ascii="Arial Narrow" w:eastAsia="Calibri" w:hAnsi="Arial Narrow"/>
          <w:b/>
          <w:color w:val="FF0000"/>
          <w:sz w:val="20"/>
          <w:szCs w:val="20"/>
        </w:rPr>
        <w:t xml:space="preserve"> </w:t>
      </w:r>
      <w:r>
        <w:rPr>
          <w:rFonts w:ascii="Arial Narrow" w:eastAsia="Calibri" w:hAnsi="Arial Narrow"/>
          <w:b/>
          <w:sz w:val="20"/>
          <w:szCs w:val="20"/>
        </w:rPr>
        <w:t xml:space="preserve">Grants &amp; Research </w:t>
      </w:r>
      <w:proofErr w:type="spellStart"/>
      <w:r>
        <w:rPr>
          <w:rFonts w:ascii="Arial Narrow" w:eastAsia="Calibri" w:hAnsi="Arial Narrow"/>
          <w:b/>
          <w:sz w:val="20"/>
          <w:szCs w:val="20"/>
        </w:rPr>
        <w:t>Dept</w:t>
      </w:r>
      <w:proofErr w:type="spellEnd"/>
    </w:p>
    <w:p w:rsidR="007952DC" w:rsidRPr="004A120A" w:rsidRDefault="007952DC" w:rsidP="007952DC">
      <w:pPr>
        <w:rPr>
          <w:rFonts w:ascii="Arial Narrow" w:eastAsia="Calibri" w:hAnsi="Arial Narrow" w:cs="Calibri"/>
          <w:color w:val="FF0000"/>
          <w:sz w:val="20"/>
          <w:szCs w:val="20"/>
        </w:rPr>
      </w:pPr>
    </w:p>
    <w:p w:rsidR="00F45460" w:rsidRPr="004A120A" w:rsidRDefault="007952DC" w:rsidP="007952DC">
      <w:pPr>
        <w:pBdr>
          <w:top w:val="single" w:sz="4" w:space="1" w:color="C00000" w:shadow="1"/>
          <w:left w:val="single" w:sz="4" w:space="4" w:color="C00000" w:shadow="1"/>
          <w:bottom w:val="single" w:sz="4" w:space="1" w:color="C00000" w:shadow="1"/>
          <w:right w:val="single" w:sz="4" w:space="4" w:color="C00000" w:shadow="1"/>
        </w:pBdr>
        <w:rPr>
          <w:rFonts w:ascii="Arial Narrow" w:eastAsia="Calibri" w:hAnsi="Arial Narrow" w:cs="Calibri"/>
          <w:color w:val="FF0000"/>
          <w:sz w:val="20"/>
          <w:szCs w:val="20"/>
        </w:rPr>
      </w:pPr>
      <w:r w:rsidRPr="004A120A">
        <w:rPr>
          <w:rFonts w:ascii="Arial Narrow" w:eastAsia="Calibri" w:hAnsi="Arial Narrow" w:cs="Calibri"/>
          <w:color w:val="FF0000"/>
          <w:sz w:val="20"/>
          <w:szCs w:val="20"/>
        </w:rPr>
        <w:t>This Improvement Plan is reviewed and requires some revis</w:t>
      </w:r>
      <w:r w:rsidR="00F45460">
        <w:rPr>
          <w:rFonts w:ascii="Arial Narrow" w:eastAsia="Calibri" w:hAnsi="Arial Narrow" w:cs="Calibri"/>
          <w:color w:val="FF0000"/>
          <w:sz w:val="20"/>
          <w:szCs w:val="20"/>
        </w:rPr>
        <w:t>ions before it can be approved.</w:t>
      </w:r>
      <w:r w:rsidRPr="004A120A">
        <w:rPr>
          <w:rFonts w:ascii="Arial Narrow" w:eastAsia="Calibri" w:hAnsi="Arial Narrow" w:cs="Calibri"/>
          <w:color w:val="FF0000"/>
          <w:sz w:val="20"/>
          <w:szCs w:val="20"/>
        </w:rPr>
        <w:t xml:space="preserve"> </w:t>
      </w:r>
      <w:r w:rsidRPr="004A120A">
        <w:rPr>
          <w:rFonts w:ascii="Arial Narrow" w:eastAsia="Calibri" w:hAnsi="Arial Narrow" w:cs="Calibri"/>
          <w:b/>
          <w:color w:val="FF0000"/>
          <w:sz w:val="20"/>
          <w:szCs w:val="20"/>
        </w:rPr>
        <w:t xml:space="preserve">Please submit a revised Plan </w:t>
      </w:r>
      <w:r w:rsidR="00F45460">
        <w:rPr>
          <w:rFonts w:ascii="Arial Narrow" w:eastAsia="Calibri" w:hAnsi="Arial Narrow" w:cs="Calibri"/>
          <w:b/>
          <w:color w:val="FF0000"/>
          <w:sz w:val="20"/>
          <w:szCs w:val="20"/>
        </w:rPr>
        <w:t>by Monday Nov. 19</w:t>
      </w:r>
      <w:r w:rsidRPr="004A120A">
        <w:rPr>
          <w:rFonts w:ascii="Arial Narrow" w:eastAsia="Calibri" w:hAnsi="Arial Narrow" w:cs="Calibri"/>
          <w:color w:val="FF0000"/>
          <w:sz w:val="20"/>
          <w:szCs w:val="20"/>
        </w:rPr>
        <w:t xml:space="preserve"> via the SHARE website using a separate </w:t>
      </w:r>
      <w:proofErr w:type="spellStart"/>
      <w:r w:rsidRPr="004A120A">
        <w:rPr>
          <w:rFonts w:ascii="Arial Narrow" w:eastAsia="Calibri" w:hAnsi="Arial Narrow" w:cs="Calibri"/>
          <w:color w:val="FF0000"/>
          <w:sz w:val="20"/>
          <w:szCs w:val="20"/>
        </w:rPr>
        <w:t>dropbox</w:t>
      </w:r>
      <w:proofErr w:type="spellEnd"/>
      <w:r w:rsidRPr="004A120A">
        <w:rPr>
          <w:rFonts w:ascii="Arial Narrow" w:eastAsia="Calibri" w:hAnsi="Arial Narrow" w:cs="Calibri"/>
          <w:color w:val="FF0000"/>
          <w:sz w:val="20"/>
          <w:szCs w:val="20"/>
        </w:rPr>
        <w:t xml:space="preserve"> labeled, “Resubmission of revised departmental files.”</w:t>
      </w:r>
    </w:p>
    <w:p w:rsidR="007952DC" w:rsidRPr="004A120A" w:rsidRDefault="007952DC" w:rsidP="007952DC">
      <w:pPr>
        <w:pBdr>
          <w:top w:val="single" w:sz="4" w:space="1" w:color="C00000" w:shadow="1"/>
          <w:left w:val="single" w:sz="4" w:space="4" w:color="C00000" w:shadow="1"/>
          <w:bottom w:val="single" w:sz="4" w:space="1" w:color="C00000" w:shadow="1"/>
          <w:right w:val="single" w:sz="4" w:space="4" w:color="C00000" w:shadow="1"/>
        </w:pBdr>
        <w:rPr>
          <w:rFonts w:ascii="Arial Narrow" w:eastAsia="Calibri" w:hAnsi="Arial Narrow" w:cs="Calibri"/>
          <w:color w:val="FF0000"/>
          <w:sz w:val="20"/>
          <w:szCs w:val="20"/>
        </w:rPr>
      </w:pPr>
    </w:p>
    <w:p w:rsidR="007952DC" w:rsidRPr="004A120A" w:rsidRDefault="007952DC" w:rsidP="007952DC">
      <w:pPr>
        <w:pBdr>
          <w:top w:val="single" w:sz="4" w:space="1" w:color="C00000" w:shadow="1"/>
          <w:left w:val="single" w:sz="4" w:space="4" w:color="C00000" w:shadow="1"/>
          <w:bottom w:val="single" w:sz="4" w:space="1" w:color="C00000" w:shadow="1"/>
          <w:right w:val="single" w:sz="4" w:space="4" w:color="C00000" w:shadow="1"/>
        </w:pBdr>
        <w:rPr>
          <w:rFonts w:ascii="Arial Narrow" w:eastAsia="Calibri" w:hAnsi="Arial Narrow" w:cs="Calibri"/>
          <w:i/>
          <w:color w:val="FF0000"/>
          <w:sz w:val="20"/>
          <w:szCs w:val="20"/>
        </w:rPr>
      </w:pPr>
      <w:r w:rsidRPr="004A120A">
        <w:rPr>
          <w:rFonts w:ascii="Arial Narrow" w:eastAsia="Calibri" w:hAnsi="Arial Narrow" w:cs="Calibri"/>
          <w:i/>
          <w:color w:val="FF0000"/>
          <w:sz w:val="20"/>
          <w:szCs w:val="20"/>
        </w:rPr>
        <w:t>Service Assessment Committee</w:t>
      </w:r>
    </w:p>
    <w:p w:rsidR="007952DC" w:rsidRPr="004A120A" w:rsidRDefault="007952DC" w:rsidP="007952DC">
      <w:pPr>
        <w:rPr>
          <w:rFonts w:ascii="Arial Narrow" w:eastAsia="Calibri" w:hAnsi="Arial Narrow" w:cs="Calibri"/>
          <w:color w:val="FF0000"/>
          <w:sz w:val="20"/>
          <w:szCs w:val="20"/>
        </w:rPr>
      </w:pPr>
    </w:p>
    <w:p w:rsidR="007952DC" w:rsidRPr="004A120A" w:rsidRDefault="007952DC" w:rsidP="007952DC">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6"/>
      </w:tblGrid>
      <w:tr w:rsidR="007952DC" w:rsidRPr="004A120A" w:rsidTr="00F63BEC">
        <w:tc>
          <w:tcPr>
            <w:tcW w:w="5000" w:type="pct"/>
            <w:shd w:val="clear" w:color="auto" w:fill="D9D9D9"/>
          </w:tcPr>
          <w:p w:rsidR="007952DC" w:rsidRPr="004A120A" w:rsidRDefault="007952DC" w:rsidP="00F63BEC">
            <w:pPr>
              <w:rPr>
                <w:rFonts w:ascii="Arial Narrow" w:eastAsia="Calibri" w:hAnsi="Arial Narrow" w:cs="Calibri"/>
                <w:sz w:val="20"/>
                <w:szCs w:val="20"/>
              </w:rPr>
            </w:pPr>
            <w:r w:rsidRPr="004A120A">
              <w:rPr>
                <w:rFonts w:ascii="Arial Narrow" w:eastAsia="Calibri" w:hAnsi="Arial Narrow" w:cs="Calibri"/>
                <w:sz w:val="20"/>
                <w:szCs w:val="20"/>
              </w:rPr>
              <w:t xml:space="preserve">General Comments: </w:t>
            </w:r>
          </w:p>
        </w:tc>
      </w:tr>
      <w:tr w:rsidR="007952DC" w:rsidRPr="004A120A" w:rsidTr="00F63BEC">
        <w:tc>
          <w:tcPr>
            <w:tcW w:w="5000" w:type="pct"/>
          </w:tcPr>
          <w:p w:rsidR="00F45460" w:rsidRDefault="00674A09" w:rsidP="00674A09">
            <w:pPr>
              <w:rPr>
                <w:rFonts w:ascii="Arial Narrow" w:eastAsia="Calibri" w:hAnsi="Arial Narrow" w:cs="Calibri"/>
                <w:color w:val="FF0000"/>
                <w:sz w:val="20"/>
                <w:szCs w:val="20"/>
              </w:rPr>
            </w:pPr>
            <w:r>
              <w:rPr>
                <w:rFonts w:ascii="Arial Narrow" w:eastAsia="Calibri" w:hAnsi="Arial Narrow" w:cs="Calibri"/>
                <w:color w:val="FF0000"/>
                <w:sz w:val="20"/>
                <w:szCs w:val="20"/>
              </w:rPr>
              <w:t>The Grant’s objective #1 is quite lengthy</w:t>
            </w:r>
            <w:r w:rsidR="0064723A">
              <w:rPr>
                <w:rFonts w:ascii="Arial Narrow" w:eastAsia="Calibri" w:hAnsi="Arial Narrow" w:cs="Calibri"/>
                <w:color w:val="FF0000"/>
                <w:sz w:val="20"/>
                <w:szCs w:val="20"/>
              </w:rPr>
              <w:t xml:space="preserve"> for this type of document and one paragraph was suggested for deletion</w:t>
            </w:r>
            <w:r>
              <w:rPr>
                <w:rFonts w:ascii="Arial Narrow" w:eastAsia="Calibri" w:hAnsi="Arial Narrow" w:cs="Calibri"/>
                <w:color w:val="FF0000"/>
                <w:sz w:val="20"/>
                <w:szCs w:val="20"/>
              </w:rPr>
              <w:t xml:space="preserve">.  </w:t>
            </w:r>
            <w:r w:rsidR="00F45460">
              <w:rPr>
                <w:rFonts w:ascii="Arial Narrow" w:eastAsia="Calibri" w:hAnsi="Arial Narrow" w:cs="Calibri"/>
                <w:color w:val="FF0000"/>
                <w:sz w:val="20"/>
                <w:szCs w:val="20"/>
              </w:rPr>
              <w:t>The 1</w:t>
            </w:r>
            <w:r w:rsidR="00F45460" w:rsidRPr="00F45460">
              <w:rPr>
                <w:rFonts w:ascii="Arial Narrow" w:eastAsia="Calibri" w:hAnsi="Arial Narrow" w:cs="Calibri"/>
                <w:color w:val="FF0000"/>
                <w:sz w:val="20"/>
                <w:szCs w:val="20"/>
                <w:vertAlign w:val="superscript"/>
              </w:rPr>
              <w:t>st</w:t>
            </w:r>
            <w:r w:rsidR="00F45460">
              <w:rPr>
                <w:rFonts w:ascii="Arial Narrow" w:eastAsia="Calibri" w:hAnsi="Arial Narrow" w:cs="Calibri"/>
                <w:color w:val="FF0000"/>
                <w:sz w:val="20"/>
                <w:szCs w:val="20"/>
              </w:rPr>
              <w:t xml:space="preserve"> step in the Means of Assessment was moved to </w:t>
            </w:r>
            <w:proofErr w:type="spellStart"/>
            <w:r w:rsidR="00F45460">
              <w:rPr>
                <w:rFonts w:ascii="Arial Narrow" w:eastAsia="Calibri" w:hAnsi="Arial Narrow" w:cs="Calibri"/>
                <w:color w:val="FF0000"/>
                <w:sz w:val="20"/>
                <w:szCs w:val="20"/>
              </w:rPr>
              <w:t>Obj</w:t>
            </w:r>
            <w:proofErr w:type="spellEnd"/>
            <w:r w:rsidR="00F45460">
              <w:rPr>
                <w:rFonts w:ascii="Arial Narrow" w:eastAsia="Calibri" w:hAnsi="Arial Narrow" w:cs="Calibri"/>
                <w:color w:val="FF0000"/>
                <w:sz w:val="20"/>
                <w:szCs w:val="20"/>
              </w:rPr>
              <w:t xml:space="preserve"> #2.  If you agree, please remove the crossed-out text and the comments – that is all the revisions needed.</w:t>
            </w:r>
          </w:p>
          <w:p w:rsidR="00F45460" w:rsidRDefault="00F45460" w:rsidP="00674A09">
            <w:pPr>
              <w:rPr>
                <w:rFonts w:ascii="Arial Narrow" w:eastAsia="Calibri" w:hAnsi="Arial Narrow" w:cs="Calibri"/>
                <w:color w:val="FF0000"/>
                <w:sz w:val="20"/>
                <w:szCs w:val="20"/>
              </w:rPr>
            </w:pPr>
          </w:p>
          <w:p w:rsidR="00F45460" w:rsidRDefault="00F45460" w:rsidP="00674A09">
            <w:pPr>
              <w:rPr>
                <w:rFonts w:ascii="Arial Narrow" w:eastAsia="Calibri" w:hAnsi="Arial Narrow" w:cs="Calibri"/>
                <w:color w:val="FF0000"/>
                <w:sz w:val="20"/>
                <w:szCs w:val="20"/>
              </w:rPr>
            </w:pPr>
            <w:r>
              <w:rPr>
                <w:rFonts w:ascii="Arial Narrow" w:eastAsia="Calibri" w:hAnsi="Arial Narrow" w:cs="Calibri"/>
                <w:color w:val="FF0000"/>
                <w:sz w:val="20"/>
                <w:szCs w:val="20"/>
              </w:rPr>
              <w:t xml:space="preserve">The McNair objective </w:t>
            </w:r>
            <w:r w:rsidR="0064723A">
              <w:rPr>
                <w:rFonts w:ascii="Arial Narrow" w:eastAsia="Calibri" w:hAnsi="Arial Narrow" w:cs="Calibri"/>
                <w:color w:val="FF0000"/>
                <w:sz w:val="20"/>
                <w:szCs w:val="20"/>
              </w:rPr>
              <w:t>needs</w:t>
            </w:r>
            <w:r>
              <w:rPr>
                <w:rFonts w:ascii="Arial Narrow" w:eastAsia="Calibri" w:hAnsi="Arial Narrow" w:cs="Calibri"/>
                <w:color w:val="FF0000"/>
                <w:sz w:val="20"/>
                <w:szCs w:val="20"/>
              </w:rPr>
              <w:t xml:space="preserve"> mor</w:t>
            </w:r>
            <w:r w:rsidR="0064723A">
              <w:rPr>
                <w:rFonts w:ascii="Arial Narrow" w:eastAsia="Calibri" w:hAnsi="Arial Narrow" w:cs="Calibri"/>
                <w:color w:val="FF0000"/>
                <w:sz w:val="20"/>
                <w:szCs w:val="20"/>
              </w:rPr>
              <w:t xml:space="preserve">e information.  If the comments/questions </w:t>
            </w:r>
            <w:r>
              <w:rPr>
                <w:rFonts w:ascii="Arial Narrow" w:eastAsia="Calibri" w:hAnsi="Arial Narrow" w:cs="Calibri"/>
                <w:color w:val="FF0000"/>
                <w:sz w:val="20"/>
                <w:szCs w:val="20"/>
              </w:rPr>
              <w:t>are addressed</w:t>
            </w:r>
            <w:r w:rsidR="0064723A">
              <w:rPr>
                <w:rFonts w:ascii="Arial Narrow" w:eastAsia="Calibri" w:hAnsi="Arial Narrow" w:cs="Calibri"/>
                <w:color w:val="FF0000"/>
                <w:sz w:val="20"/>
                <w:szCs w:val="20"/>
              </w:rPr>
              <w:t xml:space="preserve"> in a</w:t>
            </w:r>
            <w:r>
              <w:rPr>
                <w:rFonts w:ascii="Arial Narrow" w:eastAsia="Calibri" w:hAnsi="Arial Narrow" w:cs="Calibri"/>
                <w:color w:val="FF0000"/>
                <w:sz w:val="20"/>
                <w:szCs w:val="20"/>
              </w:rPr>
              <w:t xml:space="preserve"> revision</w:t>
            </w:r>
            <w:r w:rsidR="0064723A">
              <w:rPr>
                <w:rFonts w:ascii="Arial Narrow" w:eastAsia="Calibri" w:hAnsi="Arial Narrow" w:cs="Calibri"/>
                <w:color w:val="FF0000"/>
                <w:sz w:val="20"/>
                <w:szCs w:val="20"/>
              </w:rPr>
              <w:t xml:space="preserve">, the revision </w:t>
            </w:r>
            <w:r>
              <w:rPr>
                <w:rFonts w:ascii="Arial Narrow" w:eastAsia="Calibri" w:hAnsi="Arial Narrow" w:cs="Calibri"/>
                <w:color w:val="FF0000"/>
                <w:sz w:val="20"/>
                <w:szCs w:val="20"/>
              </w:rPr>
              <w:t xml:space="preserve">should be accepted. </w:t>
            </w:r>
          </w:p>
          <w:p w:rsidR="00674A09" w:rsidRDefault="00674A09" w:rsidP="00674A09">
            <w:pPr>
              <w:rPr>
                <w:rFonts w:ascii="Arial Narrow" w:eastAsia="Calibri" w:hAnsi="Arial Narrow" w:cs="Calibri"/>
                <w:color w:val="FF0000"/>
                <w:sz w:val="20"/>
                <w:szCs w:val="20"/>
              </w:rPr>
            </w:pPr>
          </w:p>
          <w:p w:rsidR="00674A09" w:rsidRDefault="00674A09" w:rsidP="00F45460">
            <w:pPr>
              <w:rPr>
                <w:rFonts w:ascii="Arial Narrow" w:eastAsia="Calibri" w:hAnsi="Arial Narrow" w:cs="Calibri"/>
                <w:color w:val="FF0000"/>
                <w:sz w:val="20"/>
                <w:szCs w:val="20"/>
              </w:rPr>
            </w:pPr>
            <w:r>
              <w:rPr>
                <w:rFonts w:ascii="Arial Narrow" w:eastAsia="Calibri" w:hAnsi="Arial Narrow" w:cs="Calibri"/>
                <w:color w:val="FF0000"/>
                <w:sz w:val="20"/>
                <w:szCs w:val="20"/>
              </w:rPr>
              <w:t xml:space="preserve">The new mission statement is noted. </w:t>
            </w:r>
          </w:p>
          <w:p w:rsidR="00150C00" w:rsidRDefault="00150C00" w:rsidP="00F45460">
            <w:pPr>
              <w:rPr>
                <w:rFonts w:ascii="Arial Narrow" w:eastAsia="Calibri" w:hAnsi="Arial Narrow" w:cs="Calibri"/>
                <w:color w:val="FF0000"/>
                <w:sz w:val="20"/>
                <w:szCs w:val="20"/>
              </w:rPr>
            </w:pPr>
          </w:p>
          <w:p w:rsidR="00150C00" w:rsidRPr="004A120A" w:rsidRDefault="00150C00" w:rsidP="00F45460">
            <w:pPr>
              <w:rPr>
                <w:rFonts w:ascii="Arial Narrow" w:eastAsia="Calibri" w:hAnsi="Arial Narrow" w:cs="Calibri"/>
                <w:color w:val="FF0000"/>
                <w:sz w:val="20"/>
                <w:szCs w:val="20"/>
              </w:rPr>
            </w:pPr>
            <w:r>
              <w:rPr>
                <w:rFonts w:ascii="Arial Narrow" w:eastAsia="Calibri" w:hAnsi="Arial Narrow" w:cs="Calibri"/>
                <w:color w:val="FF0000"/>
                <w:sz w:val="20"/>
                <w:szCs w:val="20"/>
              </w:rPr>
              <w:t>NOTE: When you write the report next year, please attempt to do some peer or national comparisons in order to put NMU into perspective.</w:t>
            </w:r>
          </w:p>
        </w:tc>
      </w:tr>
    </w:tbl>
    <w:p w:rsidR="007952DC" w:rsidRPr="004A120A" w:rsidRDefault="007952DC" w:rsidP="007952DC">
      <w:pPr>
        <w:spacing w:after="200"/>
        <w:rPr>
          <w:rFonts w:ascii="Arial Narrow" w:eastAsia="Calibri" w:hAnsi="Arial Narrow"/>
          <w:b/>
          <w:sz w:val="20"/>
          <w:szCs w:val="20"/>
        </w:rPr>
      </w:pPr>
      <w:r w:rsidRPr="004A120A">
        <w:rPr>
          <w:rFonts w:ascii="Arial Narrow" w:eastAsia="Calibri" w:hAnsi="Arial Narrow"/>
          <w:b/>
          <w:sz w:val="20"/>
          <w:szCs w:val="20"/>
        </w:rPr>
        <w:tab/>
      </w:r>
    </w:p>
    <w:tbl>
      <w:tblPr>
        <w:tblStyle w:val="TableGrid1"/>
        <w:tblW w:w="5088" w:type="pct"/>
        <w:tblInd w:w="-61" w:type="dxa"/>
        <w:tblCellMar>
          <w:left w:w="29" w:type="dxa"/>
          <w:right w:w="29" w:type="dxa"/>
        </w:tblCellMar>
        <w:tblLook w:val="04A0" w:firstRow="1" w:lastRow="0" w:firstColumn="1" w:lastColumn="0" w:noHBand="0" w:noVBand="1"/>
      </w:tblPr>
      <w:tblGrid>
        <w:gridCol w:w="8507"/>
        <w:gridCol w:w="880"/>
        <w:gridCol w:w="864"/>
        <w:gridCol w:w="798"/>
      </w:tblGrid>
      <w:tr w:rsidR="007952DC" w:rsidRPr="004A120A" w:rsidTr="00F63BEC">
        <w:trPr>
          <w:trHeight w:val="20"/>
        </w:trPr>
        <w:tc>
          <w:tcPr>
            <w:tcW w:w="3850" w:type="pct"/>
            <w:shd w:val="clear" w:color="auto" w:fill="D9D9D9"/>
          </w:tcPr>
          <w:p w:rsidR="007952DC" w:rsidRPr="004A120A" w:rsidRDefault="007952DC" w:rsidP="00F63BEC">
            <w:pPr>
              <w:tabs>
                <w:tab w:val="left" w:pos="360"/>
              </w:tabs>
              <w:ind w:left="540" w:hanging="540"/>
              <w:rPr>
                <w:rFonts w:ascii="Arial Narrow" w:eastAsia="Calibri" w:hAnsi="Arial Narrow"/>
                <w:sz w:val="20"/>
                <w:szCs w:val="20"/>
              </w:rPr>
            </w:pPr>
            <w:r w:rsidRPr="004A120A">
              <w:rPr>
                <w:rFonts w:ascii="Arial Narrow" w:eastAsia="Calibri" w:hAnsi="Arial Narrow"/>
                <w:b/>
                <w:sz w:val="20"/>
                <w:szCs w:val="20"/>
              </w:rPr>
              <w:t xml:space="preserve">Effective Objectives meet the following criteria </w:t>
            </w:r>
          </w:p>
        </w:tc>
        <w:tc>
          <w:tcPr>
            <w:tcW w:w="398" w:type="pct"/>
            <w:shd w:val="clear" w:color="auto" w:fill="D9D9D9"/>
          </w:tcPr>
          <w:p w:rsidR="007952DC" w:rsidRPr="004A120A" w:rsidRDefault="007952DC" w:rsidP="00F63BEC">
            <w:pPr>
              <w:tabs>
                <w:tab w:val="left" w:pos="360"/>
              </w:tabs>
              <w:jc w:val="center"/>
              <w:rPr>
                <w:rFonts w:ascii="Arial Narrow" w:eastAsia="Calibri" w:hAnsi="Arial Narrow"/>
                <w:sz w:val="20"/>
                <w:szCs w:val="20"/>
              </w:rPr>
            </w:pPr>
            <w:proofErr w:type="spellStart"/>
            <w:r w:rsidRPr="004A120A">
              <w:rPr>
                <w:rFonts w:ascii="Arial Narrow" w:eastAsia="Calibri" w:hAnsi="Arial Narrow"/>
                <w:sz w:val="20"/>
                <w:szCs w:val="20"/>
              </w:rPr>
              <w:t>Obj</w:t>
            </w:r>
            <w:proofErr w:type="spellEnd"/>
            <w:r w:rsidRPr="004A120A">
              <w:rPr>
                <w:rFonts w:ascii="Arial Narrow" w:eastAsia="Calibri" w:hAnsi="Arial Narrow"/>
                <w:sz w:val="20"/>
                <w:szCs w:val="20"/>
              </w:rPr>
              <w:t xml:space="preserve"> #1</w:t>
            </w:r>
          </w:p>
          <w:p w:rsidR="007952DC" w:rsidRPr="004A120A" w:rsidRDefault="007952DC" w:rsidP="00F63BEC">
            <w:pPr>
              <w:tabs>
                <w:tab w:val="left" w:pos="360"/>
              </w:tabs>
              <w:jc w:val="center"/>
              <w:rPr>
                <w:rFonts w:ascii="Arial Narrow" w:eastAsia="Calibri" w:hAnsi="Arial Narrow"/>
                <w:sz w:val="20"/>
                <w:szCs w:val="20"/>
              </w:rPr>
            </w:pPr>
            <w:r w:rsidRPr="004A120A">
              <w:rPr>
                <w:rFonts w:ascii="Arial Narrow" w:eastAsia="Calibri" w:hAnsi="Arial Narrow"/>
                <w:sz w:val="20"/>
                <w:szCs w:val="20"/>
              </w:rPr>
              <w:t>Met?</w:t>
            </w:r>
          </w:p>
        </w:tc>
        <w:tc>
          <w:tcPr>
            <w:tcW w:w="391" w:type="pct"/>
            <w:shd w:val="clear" w:color="auto" w:fill="D9D9D9"/>
          </w:tcPr>
          <w:p w:rsidR="007952DC" w:rsidRPr="004A120A" w:rsidRDefault="007952DC" w:rsidP="00F63BEC">
            <w:pPr>
              <w:tabs>
                <w:tab w:val="left" w:pos="360"/>
              </w:tabs>
              <w:jc w:val="center"/>
              <w:rPr>
                <w:rFonts w:ascii="Arial Narrow" w:eastAsia="Calibri" w:hAnsi="Arial Narrow"/>
                <w:sz w:val="20"/>
                <w:szCs w:val="20"/>
              </w:rPr>
            </w:pPr>
            <w:proofErr w:type="spellStart"/>
            <w:r w:rsidRPr="004A120A">
              <w:rPr>
                <w:rFonts w:ascii="Arial Narrow" w:eastAsia="Calibri" w:hAnsi="Arial Narrow"/>
                <w:sz w:val="20"/>
                <w:szCs w:val="20"/>
              </w:rPr>
              <w:t>Obj</w:t>
            </w:r>
            <w:proofErr w:type="spellEnd"/>
            <w:r w:rsidRPr="004A120A">
              <w:rPr>
                <w:rFonts w:ascii="Arial Narrow" w:eastAsia="Calibri" w:hAnsi="Arial Narrow"/>
                <w:sz w:val="20"/>
                <w:szCs w:val="20"/>
              </w:rPr>
              <w:t xml:space="preserve"> #2</w:t>
            </w:r>
          </w:p>
          <w:p w:rsidR="007952DC" w:rsidRPr="004A120A" w:rsidRDefault="007952DC" w:rsidP="00F63BEC">
            <w:pPr>
              <w:tabs>
                <w:tab w:val="left" w:pos="360"/>
              </w:tabs>
              <w:jc w:val="center"/>
              <w:rPr>
                <w:rFonts w:ascii="Arial Narrow" w:eastAsia="Calibri" w:hAnsi="Arial Narrow"/>
                <w:sz w:val="20"/>
                <w:szCs w:val="20"/>
              </w:rPr>
            </w:pPr>
            <w:r w:rsidRPr="004A120A">
              <w:rPr>
                <w:rFonts w:ascii="Arial Narrow" w:eastAsia="Calibri" w:hAnsi="Arial Narrow"/>
                <w:sz w:val="20"/>
                <w:szCs w:val="20"/>
              </w:rPr>
              <w:t>Met?</w:t>
            </w:r>
          </w:p>
        </w:tc>
        <w:tc>
          <w:tcPr>
            <w:tcW w:w="361" w:type="pct"/>
            <w:shd w:val="clear" w:color="auto" w:fill="D9D9D9"/>
          </w:tcPr>
          <w:p w:rsidR="007952DC" w:rsidRPr="004A120A" w:rsidRDefault="007952DC" w:rsidP="00F63BEC">
            <w:pPr>
              <w:tabs>
                <w:tab w:val="left" w:pos="360"/>
              </w:tabs>
              <w:jc w:val="center"/>
              <w:rPr>
                <w:rFonts w:ascii="Arial Narrow" w:eastAsia="Calibri" w:hAnsi="Arial Narrow"/>
                <w:sz w:val="20"/>
                <w:szCs w:val="20"/>
              </w:rPr>
            </w:pPr>
            <w:proofErr w:type="spellStart"/>
            <w:r w:rsidRPr="004A120A">
              <w:rPr>
                <w:rFonts w:ascii="Arial Narrow" w:eastAsia="Calibri" w:hAnsi="Arial Narrow"/>
                <w:sz w:val="20"/>
                <w:szCs w:val="20"/>
              </w:rPr>
              <w:t>Obj</w:t>
            </w:r>
            <w:proofErr w:type="spellEnd"/>
            <w:r w:rsidRPr="004A120A">
              <w:rPr>
                <w:rFonts w:ascii="Arial Narrow" w:eastAsia="Calibri" w:hAnsi="Arial Narrow"/>
                <w:sz w:val="20"/>
                <w:szCs w:val="20"/>
              </w:rPr>
              <w:t xml:space="preserve"> #3 Met?</w:t>
            </w:r>
          </w:p>
        </w:tc>
      </w:tr>
      <w:tr w:rsidR="007952DC" w:rsidRPr="004A120A" w:rsidTr="00F63BEC">
        <w:trPr>
          <w:trHeight w:val="20"/>
        </w:trPr>
        <w:tc>
          <w:tcPr>
            <w:tcW w:w="3850" w:type="pct"/>
          </w:tcPr>
          <w:p w:rsidR="007952DC" w:rsidRPr="004A120A" w:rsidRDefault="007952DC" w:rsidP="00F63BEC">
            <w:pPr>
              <w:tabs>
                <w:tab w:val="left" w:pos="360"/>
              </w:tabs>
              <w:rPr>
                <w:rFonts w:ascii="Arial Narrow" w:eastAsia="Calibri" w:hAnsi="Arial Narrow"/>
                <w:b/>
                <w:sz w:val="20"/>
                <w:szCs w:val="20"/>
              </w:rPr>
            </w:pPr>
            <w:r w:rsidRPr="004A120A">
              <w:rPr>
                <w:rFonts w:ascii="Arial Narrow" w:eastAsia="Calibri" w:hAnsi="Arial Narrow"/>
                <w:sz w:val="20"/>
                <w:szCs w:val="20"/>
              </w:rPr>
              <w:t xml:space="preserve">Identifies a measured goal (target statistic) or process development (impact and purpose) or study (scope and purpose) </w:t>
            </w:r>
          </w:p>
        </w:tc>
        <w:tc>
          <w:tcPr>
            <w:tcW w:w="398" w:type="pct"/>
          </w:tcPr>
          <w:p w:rsidR="007952DC" w:rsidRPr="004A120A" w:rsidRDefault="005C4CC6" w:rsidP="00F63BEC">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91" w:type="pct"/>
          </w:tcPr>
          <w:p w:rsidR="007952DC" w:rsidRPr="004A120A" w:rsidRDefault="00150C00" w:rsidP="00F63BEC">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61" w:type="pct"/>
          </w:tcPr>
          <w:p w:rsidR="007952DC" w:rsidRPr="004A120A" w:rsidRDefault="007952DC" w:rsidP="00F63BEC">
            <w:pPr>
              <w:tabs>
                <w:tab w:val="left" w:pos="360"/>
              </w:tabs>
              <w:jc w:val="center"/>
              <w:rPr>
                <w:rFonts w:ascii="Arial Narrow" w:eastAsia="Calibri" w:hAnsi="Arial Narrow"/>
                <w:sz w:val="20"/>
                <w:szCs w:val="20"/>
              </w:rPr>
            </w:pPr>
          </w:p>
        </w:tc>
      </w:tr>
      <w:tr w:rsidR="007952DC" w:rsidRPr="004A120A" w:rsidTr="00F63BEC">
        <w:trPr>
          <w:trHeight w:val="20"/>
        </w:trPr>
        <w:tc>
          <w:tcPr>
            <w:tcW w:w="3850" w:type="pct"/>
          </w:tcPr>
          <w:p w:rsidR="007952DC" w:rsidRPr="004A120A" w:rsidRDefault="007952DC" w:rsidP="00F63BEC">
            <w:pPr>
              <w:tabs>
                <w:tab w:val="left" w:pos="360"/>
              </w:tabs>
              <w:rPr>
                <w:rFonts w:ascii="Arial Narrow" w:eastAsia="Calibri" w:hAnsi="Arial Narrow"/>
                <w:sz w:val="20"/>
                <w:szCs w:val="20"/>
              </w:rPr>
            </w:pPr>
            <w:r w:rsidRPr="004A120A">
              <w:rPr>
                <w:rFonts w:ascii="Arial Narrow" w:eastAsia="Calibri" w:hAnsi="Arial Narrow"/>
                <w:sz w:val="20"/>
                <w:szCs w:val="20"/>
              </w:rPr>
              <w:t xml:space="preserve">Objective wording is one simple and straightforward goal. Avoids “and.”  Uses an active verb (create, present, review, collect, analyze, interpret, recommend, solve,  design, explain, etc. in defining the objective) </w:t>
            </w:r>
          </w:p>
        </w:tc>
        <w:tc>
          <w:tcPr>
            <w:tcW w:w="398" w:type="pct"/>
          </w:tcPr>
          <w:p w:rsidR="007952DC" w:rsidRPr="004A120A" w:rsidRDefault="005C4CC6" w:rsidP="00F63BEC">
            <w:pPr>
              <w:tabs>
                <w:tab w:val="left" w:pos="360"/>
              </w:tabs>
              <w:jc w:val="center"/>
              <w:rPr>
                <w:rFonts w:ascii="Arial Narrow" w:eastAsia="Calibri" w:hAnsi="Arial Narrow"/>
                <w:sz w:val="20"/>
                <w:szCs w:val="20"/>
              </w:rPr>
            </w:pPr>
            <w:r>
              <w:rPr>
                <w:rFonts w:ascii="Arial Narrow" w:eastAsia="Calibri" w:hAnsi="Arial Narrow"/>
                <w:sz w:val="20"/>
                <w:szCs w:val="20"/>
              </w:rPr>
              <w:t>A bit lengthy</w:t>
            </w:r>
          </w:p>
        </w:tc>
        <w:tc>
          <w:tcPr>
            <w:tcW w:w="391" w:type="pct"/>
          </w:tcPr>
          <w:p w:rsidR="007952DC" w:rsidRPr="004A120A" w:rsidRDefault="00150C00" w:rsidP="00F63BEC">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61" w:type="pct"/>
          </w:tcPr>
          <w:p w:rsidR="007952DC" w:rsidRPr="004A120A" w:rsidRDefault="007952DC" w:rsidP="00F63BEC">
            <w:pPr>
              <w:tabs>
                <w:tab w:val="left" w:pos="360"/>
              </w:tabs>
              <w:jc w:val="center"/>
              <w:rPr>
                <w:rFonts w:ascii="Arial Narrow" w:eastAsia="Calibri" w:hAnsi="Arial Narrow"/>
                <w:sz w:val="20"/>
                <w:szCs w:val="20"/>
              </w:rPr>
            </w:pPr>
          </w:p>
        </w:tc>
      </w:tr>
      <w:tr w:rsidR="007952DC" w:rsidRPr="004A120A" w:rsidTr="00F63BEC">
        <w:trPr>
          <w:trHeight w:val="20"/>
        </w:trPr>
        <w:tc>
          <w:tcPr>
            <w:tcW w:w="3850" w:type="pct"/>
          </w:tcPr>
          <w:p w:rsidR="007952DC" w:rsidRPr="004A120A" w:rsidRDefault="007952DC" w:rsidP="00F63BEC">
            <w:pPr>
              <w:tabs>
                <w:tab w:val="left" w:pos="360"/>
              </w:tabs>
              <w:rPr>
                <w:rFonts w:ascii="Arial Narrow" w:eastAsia="Calibri" w:hAnsi="Arial Narrow"/>
                <w:sz w:val="20"/>
                <w:szCs w:val="20"/>
              </w:rPr>
            </w:pPr>
            <w:r w:rsidRPr="004A120A">
              <w:rPr>
                <w:rFonts w:ascii="Arial Narrow" w:eastAsia="Calibri" w:hAnsi="Arial Narrow"/>
                <w:sz w:val="20"/>
                <w:szCs w:val="20"/>
              </w:rPr>
              <w:t>States a rationale aligned with objective</w:t>
            </w:r>
          </w:p>
        </w:tc>
        <w:tc>
          <w:tcPr>
            <w:tcW w:w="398" w:type="pct"/>
          </w:tcPr>
          <w:p w:rsidR="007952DC" w:rsidRPr="004A120A" w:rsidRDefault="005C4CC6" w:rsidP="00F63BEC">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91" w:type="pct"/>
          </w:tcPr>
          <w:p w:rsidR="007952DC" w:rsidRPr="004A120A" w:rsidRDefault="005C4CC6" w:rsidP="00F63BEC">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61" w:type="pct"/>
          </w:tcPr>
          <w:p w:rsidR="007952DC" w:rsidRPr="004A120A" w:rsidRDefault="007952DC" w:rsidP="00F63BEC">
            <w:pPr>
              <w:tabs>
                <w:tab w:val="left" w:pos="360"/>
              </w:tabs>
              <w:jc w:val="center"/>
              <w:rPr>
                <w:rFonts w:ascii="Arial Narrow" w:eastAsia="Calibri" w:hAnsi="Arial Narrow"/>
                <w:sz w:val="20"/>
                <w:szCs w:val="20"/>
              </w:rPr>
            </w:pPr>
          </w:p>
        </w:tc>
      </w:tr>
      <w:tr w:rsidR="007952DC" w:rsidRPr="004A120A" w:rsidTr="00F63BEC">
        <w:trPr>
          <w:trHeight w:val="20"/>
        </w:trPr>
        <w:tc>
          <w:tcPr>
            <w:tcW w:w="3850" w:type="pct"/>
          </w:tcPr>
          <w:p w:rsidR="007952DC" w:rsidRPr="004A120A" w:rsidRDefault="007952DC" w:rsidP="00F63BEC">
            <w:pPr>
              <w:tabs>
                <w:tab w:val="left" w:pos="360"/>
              </w:tabs>
              <w:rPr>
                <w:rFonts w:ascii="Arial Narrow" w:eastAsia="Calibri" w:hAnsi="Arial Narrow"/>
                <w:sz w:val="20"/>
                <w:szCs w:val="20"/>
              </w:rPr>
            </w:pPr>
            <w:r w:rsidRPr="004A120A">
              <w:rPr>
                <w:rFonts w:ascii="Arial Narrow" w:eastAsia="Calibri" w:hAnsi="Arial Narrow"/>
                <w:sz w:val="20"/>
                <w:szCs w:val="20"/>
              </w:rPr>
              <w:t>Identifies AQIP Portfolio category this objective will improve or Road Map for an initiative</w:t>
            </w:r>
          </w:p>
        </w:tc>
        <w:tc>
          <w:tcPr>
            <w:tcW w:w="398" w:type="pct"/>
          </w:tcPr>
          <w:p w:rsidR="007952DC" w:rsidRPr="004A120A" w:rsidRDefault="005C4CC6" w:rsidP="00F63BEC">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91" w:type="pct"/>
          </w:tcPr>
          <w:p w:rsidR="007952DC" w:rsidRPr="004A120A" w:rsidRDefault="005C4CC6" w:rsidP="00F63BEC">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61" w:type="pct"/>
          </w:tcPr>
          <w:p w:rsidR="007952DC" w:rsidRPr="004A120A" w:rsidRDefault="007952DC" w:rsidP="00F63BEC">
            <w:pPr>
              <w:tabs>
                <w:tab w:val="left" w:pos="360"/>
              </w:tabs>
              <w:jc w:val="center"/>
              <w:rPr>
                <w:rFonts w:ascii="Arial Narrow" w:eastAsia="Calibri" w:hAnsi="Arial Narrow"/>
                <w:sz w:val="20"/>
                <w:szCs w:val="20"/>
              </w:rPr>
            </w:pPr>
          </w:p>
        </w:tc>
      </w:tr>
    </w:tbl>
    <w:p w:rsidR="007952DC" w:rsidRPr="004A120A" w:rsidRDefault="007952DC" w:rsidP="007952DC">
      <w:pPr>
        <w:spacing w:line="276" w:lineRule="auto"/>
        <w:rPr>
          <w:rFonts w:ascii="Calibri" w:eastAsia="Calibri" w:hAnsi="Calibri"/>
          <w:sz w:val="22"/>
          <w:szCs w:val="22"/>
        </w:rPr>
      </w:pPr>
    </w:p>
    <w:tbl>
      <w:tblPr>
        <w:tblStyle w:val="TableGrid1"/>
        <w:tblW w:w="5088" w:type="pct"/>
        <w:tblInd w:w="-61" w:type="dxa"/>
        <w:tblCellMar>
          <w:left w:w="29" w:type="dxa"/>
          <w:right w:w="29" w:type="dxa"/>
        </w:tblCellMar>
        <w:tblLook w:val="04A0" w:firstRow="1" w:lastRow="0" w:firstColumn="1" w:lastColumn="0" w:noHBand="0" w:noVBand="1"/>
      </w:tblPr>
      <w:tblGrid>
        <w:gridCol w:w="8507"/>
        <w:gridCol w:w="880"/>
        <w:gridCol w:w="860"/>
        <w:gridCol w:w="802"/>
      </w:tblGrid>
      <w:tr w:rsidR="007952DC" w:rsidRPr="004A120A" w:rsidTr="00F63BEC">
        <w:trPr>
          <w:trHeight w:val="20"/>
        </w:trPr>
        <w:tc>
          <w:tcPr>
            <w:tcW w:w="3850" w:type="pct"/>
            <w:shd w:val="clear" w:color="auto" w:fill="D9D9D9"/>
          </w:tcPr>
          <w:p w:rsidR="007952DC" w:rsidRPr="004A120A" w:rsidRDefault="007952DC" w:rsidP="00F63BEC">
            <w:pPr>
              <w:tabs>
                <w:tab w:val="left" w:pos="360"/>
              </w:tabs>
              <w:rPr>
                <w:rFonts w:ascii="Arial Narrow" w:eastAsia="Calibri" w:hAnsi="Arial Narrow"/>
                <w:sz w:val="20"/>
                <w:szCs w:val="20"/>
              </w:rPr>
            </w:pPr>
            <w:r w:rsidRPr="004A120A">
              <w:rPr>
                <w:rFonts w:ascii="Arial Narrow" w:eastAsia="Calibri" w:hAnsi="Arial Narrow"/>
                <w:b/>
                <w:sz w:val="20"/>
                <w:szCs w:val="20"/>
              </w:rPr>
              <w:t xml:space="preserve">Effective Means of Assessment meet the following criteria </w:t>
            </w:r>
            <w:r w:rsidRPr="004A120A">
              <w:rPr>
                <w:rFonts w:ascii="Arial Narrow" w:eastAsia="Calibri" w:hAnsi="Arial Narrow"/>
                <w:b/>
                <w:sz w:val="20"/>
                <w:szCs w:val="20"/>
              </w:rPr>
              <w:br/>
              <w:t xml:space="preserve"> </w:t>
            </w:r>
            <w:r w:rsidRPr="004A120A">
              <w:rPr>
                <w:rFonts w:ascii="Arial Narrow" w:eastAsia="Calibri" w:hAnsi="Arial Narrow"/>
                <w:sz w:val="20"/>
                <w:szCs w:val="20"/>
              </w:rPr>
              <w:t>(Do not rely solely on indirect methods, e.g. satisfaction surveys, for all objectives)</w:t>
            </w:r>
          </w:p>
        </w:tc>
        <w:tc>
          <w:tcPr>
            <w:tcW w:w="398" w:type="pct"/>
            <w:shd w:val="clear" w:color="auto" w:fill="D9D9D9"/>
          </w:tcPr>
          <w:p w:rsidR="007952DC" w:rsidRPr="004A120A" w:rsidRDefault="007952DC" w:rsidP="00F63BEC">
            <w:pPr>
              <w:tabs>
                <w:tab w:val="left" w:pos="360"/>
              </w:tabs>
              <w:jc w:val="center"/>
              <w:rPr>
                <w:rFonts w:ascii="Arial Narrow" w:eastAsia="Calibri" w:hAnsi="Arial Narrow"/>
                <w:sz w:val="20"/>
                <w:szCs w:val="20"/>
              </w:rPr>
            </w:pPr>
            <w:proofErr w:type="spellStart"/>
            <w:r w:rsidRPr="004A120A">
              <w:rPr>
                <w:rFonts w:ascii="Arial Narrow" w:eastAsia="Calibri" w:hAnsi="Arial Narrow"/>
                <w:sz w:val="20"/>
                <w:szCs w:val="20"/>
              </w:rPr>
              <w:t>Obj</w:t>
            </w:r>
            <w:proofErr w:type="spellEnd"/>
            <w:r w:rsidRPr="004A120A">
              <w:rPr>
                <w:rFonts w:ascii="Arial Narrow" w:eastAsia="Calibri" w:hAnsi="Arial Narrow"/>
                <w:sz w:val="20"/>
                <w:szCs w:val="20"/>
              </w:rPr>
              <w:t xml:space="preserve"> #1</w:t>
            </w:r>
          </w:p>
          <w:p w:rsidR="007952DC" w:rsidRPr="004A120A" w:rsidRDefault="007952DC" w:rsidP="00F63BEC">
            <w:pPr>
              <w:tabs>
                <w:tab w:val="left" w:pos="360"/>
              </w:tabs>
              <w:jc w:val="center"/>
              <w:rPr>
                <w:rFonts w:ascii="Arial Narrow" w:eastAsia="Calibri" w:hAnsi="Arial Narrow"/>
                <w:sz w:val="20"/>
                <w:szCs w:val="20"/>
              </w:rPr>
            </w:pPr>
            <w:r w:rsidRPr="004A120A">
              <w:rPr>
                <w:rFonts w:ascii="Arial Narrow" w:eastAsia="Calibri" w:hAnsi="Arial Narrow"/>
                <w:sz w:val="20"/>
                <w:szCs w:val="20"/>
              </w:rPr>
              <w:t>Met?</w:t>
            </w:r>
          </w:p>
        </w:tc>
        <w:tc>
          <w:tcPr>
            <w:tcW w:w="389" w:type="pct"/>
            <w:shd w:val="clear" w:color="auto" w:fill="D9D9D9"/>
          </w:tcPr>
          <w:p w:rsidR="007952DC" w:rsidRPr="004A120A" w:rsidRDefault="007952DC" w:rsidP="00F63BEC">
            <w:pPr>
              <w:tabs>
                <w:tab w:val="left" w:pos="360"/>
              </w:tabs>
              <w:jc w:val="center"/>
              <w:rPr>
                <w:rFonts w:ascii="Arial Narrow" w:eastAsia="Calibri" w:hAnsi="Arial Narrow"/>
                <w:sz w:val="20"/>
                <w:szCs w:val="20"/>
              </w:rPr>
            </w:pPr>
            <w:proofErr w:type="spellStart"/>
            <w:r w:rsidRPr="004A120A">
              <w:rPr>
                <w:rFonts w:ascii="Arial Narrow" w:eastAsia="Calibri" w:hAnsi="Arial Narrow"/>
                <w:sz w:val="20"/>
                <w:szCs w:val="20"/>
              </w:rPr>
              <w:t>Obj</w:t>
            </w:r>
            <w:proofErr w:type="spellEnd"/>
            <w:r w:rsidRPr="004A120A">
              <w:rPr>
                <w:rFonts w:ascii="Arial Narrow" w:eastAsia="Calibri" w:hAnsi="Arial Narrow"/>
                <w:sz w:val="20"/>
                <w:szCs w:val="20"/>
              </w:rPr>
              <w:t xml:space="preserve"> #2</w:t>
            </w:r>
          </w:p>
          <w:p w:rsidR="007952DC" w:rsidRPr="004A120A" w:rsidRDefault="007952DC" w:rsidP="00F63BEC">
            <w:pPr>
              <w:tabs>
                <w:tab w:val="left" w:pos="360"/>
              </w:tabs>
              <w:jc w:val="center"/>
              <w:rPr>
                <w:rFonts w:ascii="Arial Narrow" w:eastAsia="Calibri" w:hAnsi="Arial Narrow"/>
                <w:sz w:val="20"/>
                <w:szCs w:val="20"/>
              </w:rPr>
            </w:pPr>
            <w:r w:rsidRPr="004A120A">
              <w:rPr>
                <w:rFonts w:ascii="Arial Narrow" w:eastAsia="Calibri" w:hAnsi="Arial Narrow"/>
                <w:sz w:val="20"/>
                <w:szCs w:val="20"/>
              </w:rPr>
              <w:t>Met?</w:t>
            </w:r>
          </w:p>
        </w:tc>
        <w:tc>
          <w:tcPr>
            <w:tcW w:w="363" w:type="pct"/>
            <w:shd w:val="clear" w:color="auto" w:fill="D9D9D9"/>
          </w:tcPr>
          <w:p w:rsidR="007952DC" w:rsidRPr="004A120A" w:rsidRDefault="007952DC" w:rsidP="00F63BEC">
            <w:pPr>
              <w:tabs>
                <w:tab w:val="left" w:pos="360"/>
              </w:tabs>
              <w:jc w:val="center"/>
              <w:rPr>
                <w:rFonts w:ascii="Arial Narrow" w:eastAsia="Calibri" w:hAnsi="Arial Narrow"/>
                <w:sz w:val="20"/>
                <w:szCs w:val="20"/>
              </w:rPr>
            </w:pPr>
            <w:proofErr w:type="spellStart"/>
            <w:r w:rsidRPr="004A120A">
              <w:rPr>
                <w:rFonts w:ascii="Arial Narrow" w:eastAsia="Calibri" w:hAnsi="Arial Narrow"/>
                <w:sz w:val="20"/>
                <w:szCs w:val="20"/>
              </w:rPr>
              <w:t>Obj</w:t>
            </w:r>
            <w:proofErr w:type="spellEnd"/>
            <w:r w:rsidRPr="004A120A">
              <w:rPr>
                <w:rFonts w:ascii="Arial Narrow" w:eastAsia="Calibri" w:hAnsi="Arial Narrow"/>
                <w:sz w:val="20"/>
                <w:szCs w:val="20"/>
              </w:rPr>
              <w:t xml:space="preserve"> #3 Met?</w:t>
            </w:r>
          </w:p>
        </w:tc>
      </w:tr>
      <w:tr w:rsidR="007952DC" w:rsidRPr="004A120A" w:rsidTr="00F63BEC">
        <w:trPr>
          <w:trHeight w:val="20"/>
        </w:trPr>
        <w:tc>
          <w:tcPr>
            <w:tcW w:w="3850" w:type="pct"/>
          </w:tcPr>
          <w:p w:rsidR="007952DC" w:rsidRPr="004A120A" w:rsidRDefault="007952DC" w:rsidP="00F63BEC">
            <w:pPr>
              <w:tabs>
                <w:tab w:val="left" w:pos="3572"/>
              </w:tabs>
              <w:rPr>
                <w:rFonts w:ascii="Arial Narrow" w:eastAsia="Calibri" w:hAnsi="Arial Narrow"/>
                <w:sz w:val="20"/>
                <w:szCs w:val="20"/>
              </w:rPr>
            </w:pPr>
            <w:r w:rsidRPr="004A120A">
              <w:rPr>
                <w:rFonts w:ascii="Arial Narrow" w:eastAsia="Calibri" w:hAnsi="Arial Narrow"/>
                <w:sz w:val="20"/>
                <w:szCs w:val="20"/>
              </w:rPr>
              <w:t xml:space="preserve">For a measured goal, the data collection and analysis processes are described </w:t>
            </w:r>
          </w:p>
        </w:tc>
        <w:tc>
          <w:tcPr>
            <w:tcW w:w="398" w:type="pct"/>
            <w:vMerge w:val="restart"/>
          </w:tcPr>
          <w:p w:rsidR="007952DC" w:rsidRPr="004A120A" w:rsidRDefault="00930200" w:rsidP="00930200">
            <w:pPr>
              <w:tabs>
                <w:tab w:val="left" w:pos="360"/>
              </w:tabs>
              <w:jc w:val="center"/>
              <w:rPr>
                <w:rFonts w:ascii="Arial Narrow" w:eastAsia="Calibri" w:hAnsi="Arial Narrow"/>
                <w:sz w:val="20"/>
                <w:szCs w:val="20"/>
              </w:rPr>
            </w:pPr>
            <w:r>
              <w:rPr>
                <w:rFonts w:ascii="Arial Narrow" w:eastAsia="Calibri" w:hAnsi="Arial Narrow"/>
                <w:sz w:val="20"/>
                <w:szCs w:val="20"/>
              </w:rPr>
              <w:t xml:space="preserve">Y </w:t>
            </w:r>
          </w:p>
        </w:tc>
        <w:tc>
          <w:tcPr>
            <w:tcW w:w="389" w:type="pct"/>
            <w:vMerge w:val="restart"/>
          </w:tcPr>
          <w:p w:rsidR="007952DC" w:rsidRPr="004A120A" w:rsidRDefault="00930200" w:rsidP="00F63BEC">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63" w:type="pct"/>
            <w:vMerge w:val="restart"/>
          </w:tcPr>
          <w:p w:rsidR="007952DC" w:rsidRPr="004A120A" w:rsidRDefault="007952DC" w:rsidP="00F63BEC">
            <w:pPr>
              <w:tabs>
                <w:tab w:val="left" w:pos="360"/>
              </w:tabs>
              <w:jc w:val="center"/>
              <w:rPr>
                <w:rFonts w:ascii="Arial Narrow" w:eastAsia="Calibri" w:hAnsi="Arial Narrow"/>
                <w:sz w:val="20"/>
                <w:szCs w:val="20"/>
              </w:rPr>
            </w:pPr>
          </w:p>
        </w:tc>
      </w:tr>
      <w:tr w:rsidR="007952DC" w:rsidRPr="004A120A" w:rsidTr="00F63BEC">
        <w:trPr>
          <w:trHeight w:val="20"/>
        </w:trPr>
        <w:tc>
          <w:tcPr>
            <w:tcW w:w="3850" w:type="pct"/>
          </w:tcPr>
          <w:p w:rsidR="007952DC" w:rsidRPr="004A120A" w:rsidRDefault="007952DC" w:rsidP="00F63BEC">
            <w:pPr>
              <w:tabs>
                <w:tab w:val="left" w:pos="360"/>
              </w:tabs>
              <w:rPr>
                <w:rFonts w:ascii="Arial Narrow" w:eastAsia="Calibri" w:hAnsi="Arial Narrow"/>
                <w:sz w:val="20"/>
                <w:szCs w:val="20"/>
              </w:rPr>
            </w:pPr>
            <w:r w:rsidRPr="004A120A">
              <w:rPr>
                <w:rFonts w:ascii="Arial Narrow" w:eastAsia="Calibri" w:hAnsi="Arial Narrow"/>
                <w:sz w:val="20"/>
                <w:szCs w:val="20"/>
              </w:rPr>
              <w:t>For a process or product development or a study, a timeline is given with interim milestones, assigned unit responsibilities and dates to ensure that the objective will stay on track and get completed.</w:t>
            </w:r>
          </w:p>
        </w:tc>
        <w:tc>
          <w:tcPr>
            <w:tcW w:w="398" w:type="pct"/>
            <w:vMerge/>
          </w:tcPr>
          <w:p w:rsidR="007952DC" w:rsidRPr="004A120A" w:rsidRDefault="007952DC" w:rsidP="00F63BEC">
            <w:pPr>
              <w:tabs>
                <w:tab w:val="left" w:pos="360"/>
              </w:tabs>
              <w:jc w:val="center"/>
              <w:rPr>
                <w:rFonts w:ascii="Arial Narrow" w:eastAsia="Calibri" w:hAnsi="Arial Narrow"/>
                <w:sz w:val="20"/>
                <w:szCs w:val="20"/>
              </w:rPr>
            </w:pPr>
          </w:p>
        </w:tc>
        <w:tc>
          <w:tcPr>
            <w:tcW w:w="389" w:type="pct"/>
            <w:vMerge/>
          </w:tcPr>
          <w:p w:rsidR="007952DC" w:rsidRPr="004A120A" w:rsidRDefault="007952DC" w:rsidP="00F63BEC">
            <w:pPr>
              <w:tabs>
                <w:tab w:val="left" w:pos="360"/>
              </w:tabs>
              <w:jc w:val="center"/>
              <w:rPr>
                <w:rFonts w:ascii="Arial Narrow" w:eastAsia="Calibri" w:hAnsi="Arial Narrow"/>
                <w:sz w:val="20"/>
                <w:szCs w:val="20"/>
              </w:rPr>
            </w:pPr>
          </w:p>
        </w:tc>
        <w:tc>
          <w:tcPr>
            <w:tcW w:w="363" w:type="pct"/>
            <w:vMerge/>
          </w:tcPr>
          <w:p w:rsidR="007952DC" w:rsidRPr="004A120A" w:rsidRDefault="007952DC" w:rsidP="00F63BEC">
            <w:pPr>
              <w:tabs>
                <w:tab w:val="left" w:pos="360"/>
              </w:tabs>
              <w:jc w:val="center"/>
              <w:rPr>
                <w:rFonts w:ascii="Arial Narrow" w:eastAsia="Calibri" w:hAnsi="Arial Narrow"/>
                <w:sz w:val="20"/>
                <w:szCs w:val="20"/>
              </w:rPr>
            </w:pPr>
          </w:p>
        </w:tc>
      </w:tr>
      <w:tr w:rsidR="007952DC" w:rsidRPr="004A120A" w:rsidTr="00F63BEC">
        <w:trPr>
          <w:trHeight w:val="20"/>
        </w:trPr>
        <w:tc>
          <w:tcPr>
            <w:tcW w:w="3850" w:type="pct"/>
          </w:tcPr>
          <w:p w:rsidR="007952DC" w:rsidRPr="004A120A" w:rsidRDefault="007952DC" w:rsidP="00F63BEC">
            <w:pPr>
              <w:tabs>
                <w:tab w:val="left" w:pos="360"/>
              </w:tabs>
              <w:rPr>
                <w:rFonts w:ascii="Arial Narrow" w:eastAsia="Calibri" w:hAnsi="Arial Narrow"/>
                <w:sz w:val="20"/>
                <w:szCs w:val="20"/>
              </w:rPr>
            </w:pPr>
            <w:r w:rsidRPr="004A120A">
              <w:rPr>
                <w:rFonts w:ascii="Arial Narrow" w:eastAsia="Calibri" w:hAnsi="Arial Narrow"/>
                <w:sz w:val="20"/>
                <w:szCs w:val="20"/>
              </w:rPr>
              <w:t>For a survey, indicates the implementation steps and survey methods and expected participants</w:t>
            </w:r>
          </w:p>
        </w:tc>
        <w:tc>
          <w:tcPr>
            <w:tcW w:w="398" w:type="pct"/>
            <w:vMerge/>
          </w:tcPr>
          <w:p w:rsidR="007952DC" w:rsidRPr="004A120A" w:rsidRDefault="007952DC" w:rsidP="00F63BEC">
            <w:pPr>
              <w:tabs>
                <w:tab w:val="left" w:pos="360"/>
              </w:tabs>
              <w:jc w:val="center"/>
              <w:rPr>
                <w:rFonts w:ascii="Arial Narrow" w:eastAsia="Calibri" w:hAnsi="Arial Narrow"/>
                <w:sz w:val="20"/>
                <w:szCs w:val="20"/>
              </w:rPr>
            </w:pPr>
          </w:p>
        </w:tc>
        <w:tc>
          <w:tcPr>
            <w:tcW w:w="389" w:type="pct"/>
            <w:vMerge/>
          </w:tcPr>
          <w:p w:rsidR="007952DC" w:rsidRPr="004A120A" w:rsidRDefault="007952DC" w:rsidP="00F63BEC">
            <w:pPr>
              <w:tabs>
                <w:tab w:val="left" w:pos="360"/>
              </w:tabs>
              <w:jc w:val="center"/>
              <w:rPr>
                <w:rFonts w:ascii="Arial Narrow" w:eastAsia="Calibri" w:hAnsi="Arial Narrow"/>
                <w:sz w:val="20"/>
                <w:szCs w:val="20"/>
              </w:rPr>
            </w:pPr>
          </w:p>
        </w:tc>
        <w:tc>
          <w:tcPr>
            <w:tcW w:w="363" w:type="pct"/>
            <w:vMerge/>
          </w:tcPr>
          <w:p w:rsidR="007952DC" w:rsidRPr="004A120A" w:rsidRDefault="007952DC" w:rsidP="00F63BEC">
            <w:pPr>
              <w:tabs>
                <w:tab w:val="left" w:pos="360"/>
              </w:tabs>
              <w:jc w:val="center"/>
              <w:rPr>
                <w:rFonts w:ascii="Arial Narrow" w:eastAsia="Calibri" w:hAnsi="Arial Narrow"/>
                <w:sz w:val="20"/>
                <w:szCs w:val="20"/>
              </w:rPr>
            </w:pPr>
          </w:p>
        </w:tc>
      </w:tr>
      <w:tr w:rsidR="007952DC" w:rsidRPr="004A120A" w:rsidTr="00F63BEC">
        <w:trPr>
          <w:trHeight w:val="20"/>
        </w:trPr>
        <w:tc>
          <w:tcPr>
            <w:tcW w:w="3850" w:type="pct"/>
          </w:tcPr>
          <w:p w:rsidR="007952DC" w:rsidRPr="004A120A" w:rsidRDefault="007952DC" w:rsidP="00F63BEC">
            <w:pPr>
              <w:tabs>
                <w:tab w:val="left" w:pos="360"/>
              </w:tabs>
              <w:rPr>
                <w:rFonts w:ascii="Arial Narrow" w:eastAsia="Calibri" w:hAnsi="Arial Narrow"/>
                <w:sz w:val="20"/>
                <w:szCs w:val="20"/>
              </w:rPr>
            </w:pPr>
            <w:r w:rsidRPr="004A120A">
              <w:rPr>
                <w:rFonts w:ascii="Arial Narrow" w:eastAsia="Calibri" w:hAnsi="Arial Narrow"/>
                <w:sz w:val="20"/>
                <w:szCs w:val="20"/>
              </w:rPr>
              <w:t>Measures (2 are preferred) are given that will be used by the unit (in next year’s report) to evaluate whether the goal was actually achieved, i.e. did the intervention work.</w:t>
            </w:r>
          </w:p>
        </w:tc>
        <w:tc>
          <w:tcPr>
            <w:tcW w:w="398" w:type="pct"/>
          </w:tcPr>
          <w:p w:rsidR="007952DC" w:rsidRPr="004A120A" w:rsidRDefault="00930200" w:rsidP="00F63BEC">
            <w:pPr>
              <w:tabs>
                <w:tab w:val="left" w:pos="360"/>
              </w:tabs>
              <w:jc w:val="center"/>
              <w:rPr>
                <w:rFonts w:ascii="Arial Narrow" w:eastAsia="Calibri" w:hAnsi="Arial Narrow"/>
                <w:sz w:val="20"/>
                <w:szCs w:val="20"/>
              </w:rPr>
            </w:pPr>
            <w:r>
              <w:rPr>
                <w:rFonts w:ascii="Arial Narrow" w:eastAsia="Calibri" w:hAnsi="Arial Narrow"/>
                <w:sz w:val="20"/>
                <w:szCs w:val="20"/>
              </w:rPr>
              <w:t>Y(one was moved)</w:t>
            </w:r>
          </w:p>
        </w:tc>
        <w:tc>
          <w:tcPr>
            <w:tcW w:w="389" w:type="pct"/>
          </w:tcPr>
          <w:p w:rsidR="007952DC" w:rsidRPr="004A120A" w:rsidRDefault="00930200" w:rsidP="00F63BEC">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63" w:type="pct"/>
          </w:tcPr>
          <w:p w:rsidR="007952DC" w:rsidRPr="004A120A" w:rsidRDefault="007952DC" w:rsidP="00F63BEC">
            <w:pPr>
              <w:tabs>
                <w:tab w:val="left" w:pos="360"/>
              </w:tabs>
              <w:jc w:val="center"/>
              <w:rPr>
                <w:rFonts w:ascii="Arial Narrow" w:eastAsia="Calibri" w:hAnsi="Arial Narrow"/>
                <w:sz w:val="20"/>
                <w:szCs w:val="20"/>
              </w:rPr>
            </w:pPr>
          </w:p>
        </w:tc>
      </w:tr>
      <w:tr w:rsidR="007952DC" w:rsidRPr="004A120A" w:rsidTr="00F63BEC">
        <w:trPr>
          <w:trHeight w:val="20"/>
        </w:trPr>
        <w:tc>
          <w:tcPr>
            <w:tcW w:w="3850" w:type="pct"/>
          </w:tcPr>
          <w:p w:rsidR="007952DC" w:rsidRPr="004A120A" w:rsidRDefault="007952DC" w:rsidP="00F63BEC">
            <w:pPr>
              <w:tabs>
                <w:tab w:val="left" w:pos="360"/>
              </w:tabs>
              <w:rPr>
                <w:rFonts w:ascii="Arial Narrow" w:eastAsia="Calibri" w:hAnsi="Arial Narrow"/>
                <w:sz w:val="20"/>
                <w:szCs w:val="20"/>
              </w:rPr>
            </w:pPr>
            <w:r w:rsidRPr="004A120A">
              <w:rPr>
                <w:rFonts w:ascii="Arial Narrow" w:eastAsia="Calibri" w:hAnsi="Arial Narrow"/>
                <w:sz w:val="20"/>
                <w:szCs w:val="20"/>
              </w:rPr>
              <w:t>Ties or aligns with objective, i.e. the plan appears to be a rational approach for achieving the objective.</w:t>
            </w:r>
          </w:p>
        </w:tc>
        <w:tc>
          <w:tcPr>
            <w:tcW w:w="398" w:type="pct"/>
          </w:tcPr>
          <w:p w:rsidR="007952DC" w:rsidRPr="004A120A" w:rsidRDefault="00930200" w:rsidP="00F63BEC">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89" w:type="pct"/>
          </w:tcPr>
          <w:p w:rsidR="007952DC" w:rsidRPr="004A120A" w:rsidRDefault="00930200" w:rsidP="00F63BEC">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63" w:type="pct"/>
          </w:tcPr>
          <w:p w:rsidR="007952DC" w:rsidRPr="004A120A" w:rsidRDefault="007952DC" w:rsidP="00F63BEC">
            <w:pPr>
              <w:tabs>
                <w:tab w:val="left" w:pos="360"/>
              </w:tabs>
              <w:jc w:val="center"/>
              <w:rPr>
                <w:rFonts w:ascii="Arial Narrow" w:eastAsia="Calibri" w:hAnsi="Arial Narrow"/>
                <w:sz w:val="20"/>
                <w:szCs w:val="20"/>
              </w:rPr>
            </w:pPr>
          </w:p>
        </w:tc>
      </w:tr>
    </w:tbl>
    <w:p w:rsidR="007952DC" w:rsidRPr="004A120A" w:rsidRDefault="007952DC" w:rsidP="007952DC">
      <w:pPr>
        <w:spacing w:after="200"/>
        <w:rPr>
          <w:rFonts w:ascii="Arial Narrow" w:eastAsia="Calibri" w:hAnsi="Arial Narrow"/>
          <w:sz w:val="20"/>
          <w:szCs w:val="20"/>
        </w:rPr>
      </w:pPr>
      <w:r w:rsidRPr="004A120A">
        <w:rPr>
          <w:rFonts w:ascii="Arial Narrow" w:eastAsia="Calibri" w:hAnsi="Arial Narrow"/>
          <w:b/>
          <w:sz w:val="20"/>
          <w:szCs w:val="20"/>
        </w:rPr>
        <w:tab/>
      </w:r>
    </w:p>
    <w:p w:rsidR="007952DC" w:rsidRPr="004A120A" w:rsidRDefault="007952DC" w:rsidP="007952DC">
      <w:pPr>
        <w:spacing w:after="200"/>
        <w:jc w:val="center"/>
        <w:rPr>
          <w:rFonts w:ascii="Arial Narrow" w:eastAsia="Calibri" w:hAnsi="Arial Narrow"/>
          <w:b/>
          <w:sz w:val="20"/>
          <w:szCs w:val="20"/>
        </w:rPr>
      </w:pPr>
      <w:r w:rsidRPr="004A120A">
        <w:rPr>
          <w:rFonts w:ascii="Arial Narrow" w:eastAsia="Calibri" w:hAnsi="Arial Narrow"/>
          <w:sz w:val="20"/>
          <w:szCs w:val="20"/>
        </w:rPr>
        <w:t>(</w:t>
      </w:r>
      <w:proofErr w:type="gramStart"/>
      <w:r w:rsidRPr="004A120A">
        <w:rPr>
          <w:rFonts w:ascii="Arial Narrow" w:eastAsia="Calibri" w:hAnsi="Arial Narrow"/>
          <w:sz w:val="20"/>
          <w:szCs w:val="20"/>
        </w:rPr>
        <w:t>Your</w:t>
      </w:r>
      <w:proofErr w:type="gramEnd"/>
      <w:r w:rsidRPr="004A120A">
        <w:rPr>
          <w:rFonts w:ascii="Arial Narrow" w:eastAsia="Calibri" w:hAnsi="Arial Narrow"/>
          <w:sz w:val="20"/>
          <w:szCs w:val="20"/>
        </w:rPr>
        <w:t xml:space="preserve"> Plan and detailed comments begin on the next page)</w:t>
      </w:r>
    </w:p>
    <w:p w:rsidR="007952DC" w:rsidRDefault="007952DC" w:rsidP="009860CD">
      <w:pPr>
        <w:jc w:val="center"/>
        <w:outlineLvl w:val="0"/>
        <w:rPr>
          <w:rFonts w:ascii="Arial Narrow" w:hAnsi="Arial Narrow" w:cs="Arial"/>
          <w:b/>
          <w:szCs w:val="28"/>
        </w:rPr>
      </w:pPr>
    </w:p>
    <w:p w:rsidR="0064723A" w:rsidRDefault="0064723A">
      <w:pPr>
        <w:spacing w:after="200" w:line="276" w:lineRule="auto"/>
        <w:rPr>
          <w:rFonts w:ascii="Arial Narrow" w:hAnsi="Arial Narrow" w:cs="Arial"/>
          <w:b/>
          <w:szCs w:val="28"/>
        </w:rPr>
      </w:pPr>
      <w:r>
        <w:rPr>
          <w:rFonts w:ascii="Arial Narrow" w:hAnsi="Arial Narrow" w:cs="Arial"/>
          <w:b/>
          <w:szCs w:val="28"/>
        </w:rPr>
        <w:br w:type="page"/>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lastRenderedPageBreak/>
        <w:t>Northern Michigan University</w:t>
      </w:r>
    </w:p>
    <w:p w:rsidR="00B60EE2" w:rsidRPr="00E47E9A" w:rsidRDefault="00FE3472" w:rsidP="009860CD">
      <w:pPr>
        <w:jc w:val="center"/>
        <w:outlineLvl w:val="0"/>
        <w:rPr>
          <w:rFonts w:ascii="Arial Narrow" w:hAnsi="Arial Narrow" w:cs="Arial"/>
          <w:b/>
          <w:szCs w:val="28"/>
        </w:rPr>
      </w:pPr>
      <w:r>
        <w:rPr>
          <w:rFonts w:ascii="Arial Narrow" w:hAnsi="Arial Narrow" w:cs="Arial"/>
          <w:b/>
          <w:szCs w:val="28"/>
        </w:rPr>
        <w:t xml:space="preserve">Improvement Plan </w:t>
      </w:r>
      <w:r w:rsidR="00B60EE2" w:rsidRPr="00E47E9A">
        <w:rPr>
          <w:rFonts w:ascii="Arial Narrow" w:hAnsi="Arial Narrow" w:cs="Arial"/>
          <w:b/>
          <w:szCs w:val="28"/>
        </w:rPr>
        <w:t>/</w:t>
      </w:r>
      <w:r>
        <w:rPr>
          <w:rFonts w:ascii="Arial Narrow" w:hAnsi="Arial Narrow" w:cs="Arial"/>
          <w:b/>
          <w:szCs w:val="28"/>
        </w:rPr>
        <w:t xml:space="preserve"> Assessment Report 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C63E27" w:rsidTr="00A51F47">
        <w:tc>
          <w:tcPr>
            <w:tcW w:w="2628" w:type="dxa"/>
            <w:gridSpan w:val="2"/>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D73961" w:rsidP="00254735">
            <w:pPr>
              <w:rPr>
                <w:rFonts w:ascii="Arial Narrow" w:hAnsi="Arial Narrow"/>
              </w:rPr>
            </w:pPr>
            <w:r>
              <w:rPr>
                <w:rFonts w:ascii="Arial Narrow" w:hAnsi="Arial Narrow"/>
              </w:rPr>
              <w:t>Grants &amp; Research Office</w:t>
            </w:r>
          </w:p>
        </w:tc>
      </w:tr>
      <w:tr w:rsidR="00B60EE2" w:rsidRPr="00C63E27" w:rsidTr="00A24592">
        <w:tc>
          <w:tcPr>
            <w:tcW w:w="2088" w:type="dxa"/>
            <w:tcBorders>
              <w:top w:val="nil"/>
              <w:left w:val="nil"/>
              <w:bottom w:val="nil"/>
              <w:right w:val="single" w:sz="4" w:space="0" w:color="auto"/>
            </w:tcBorders>
            <w:shd w:val="clear" w:color="auto" w:fill="FFFFFF"/>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FD03FE" w:rsidP="00FD03FE">
            <w:pPr>
              <w:rPr>
                <w:rFonts w:ascii="Arial Narrow" w:hAnsi="Arial Narrow" w:cs="Arial"/>
              </w:rPr>
            </w:pPr>
            <w:r w:rsidRPr="00C63E27">
              <w:rPr>
                <w:rFonts w:ascii="Arial Narrow" w:hAnsi="Arial Narrow" w:cs="Arial"/>
                <w:sz w:val="22"/>
                <w:szCs w:val="22"/>
              </w:rPr>
              <w:sym w:font="Wingdings" w:char="F0FE"/>
            </w:r>
            <w:r w:rsidRPr="00C63E27">
              <w:rPr>
                <w:rFonts w:ascii="Arial Narrow" w:hAnsi="Arial Narrow" w:cs="Arial"/>
                <w:sz w:val="22"/>
                <w:szCs w:val="22"/>
              </w:rPr>
              <w:t xml:space="preserve"> </w:t>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 xml:space="preserve">PLAN or </w:t>
            </w:r>
            <w:r w:rsidR="00B60EE2" w:rsidRPr="00C63E27">
              <w:rPr>
                <w:rFonts w:ascii="Arial Narrow" w:hAnsi="Arial Narrow" w:cs="Arial"/>
                <w:sz w:val="22"/>
                <w:szCs w:val="22"/>
                <w:u w:val="single"/>
              </w:rPr>
              <w:sym w:font="Wingdings" w:char="F0A8"/>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REPORT for July 1, 20</w:t>
            </w:r>
            <w:r w:rsidR="00FE3472" w:rsidRPr="00C63E27">
              <w:rPr>
                <w:rFonts w:ascii="Arial Narrow" w:hAnsi="Arial Narrow" w:cs="Arial"/>
                <w:sz w:val="22"/>
                <w:szCs w:val="22"/>
              </w:rPr>
              <w:t>1</w:t>
            </w:r>
            <w:r w:rsidR="00D73961">
              <w:rPr>
                <w:rFonts w:ascii="Arial Narrow" w:hAnsi="Arial Narrow" w:cs="Arial"/>
                <w:sz w:val="22"/>
                <w:szCs w:val="22"/>
              </w:rPr>
              <w:t>2</w:t>
            </w:r>
            <w:r w:rsidR="00B60EE2" w:rsidRPr="00C63E27">
              <w:rPr>
                <w:rFonts w:ascii="Arial Narrow" w:hAnsi="Arial Narrow" w:cs="Arial"/>
                <w:sz w:val="22"/>
                <w:szCs w:val="22"/>
              </w:rPr>
              <w:t xml:space="preserve"> to June 30, 20</w:t>
            </w:r>
            <w:r w:rsidR="00D73961">
              <w:rPr>
                <w:rFonts w:ascii="Arial Narrow" w:hAnsi="Arial Narrow" w:cs="Arial"/>
                <w:sz w:val="22"/>
                <w:szCs w:val="22"/>
              </w:rPr>
              <w:t>13</w:t>
            </w:r>
          </w:p>
        </w:tc>
        <w:tc>
          <w:tcPr>
            <w:tcW w:w="1620" w:type="dxa"/>
            <w:tcBorders>
              <w:top w:val="nil"/>
              <w:left w:val="single" w:sz="4" w:space="0" w:color="auto"/>
              <w:bottom w:val="nil"/>
              <w:right w:val="single" w:sz="4" w:space="0" w:color="auto"/>
            </w:tcBorders>
            <w:shd w:val="clear" w:color="auto" w:fill="FFFFFF"/>
            <w:vAlign w:val="center"/>
          </w:tcPr>
          <w:p w:rsidR="00B60EE2" w:rsidRPr="00C63E27" w:rsidRDefault="00B60EE2" w:rsidP="00A51F47">
            <w:pPr>
              <w:rPr>
                <w:rFonts w:ascii="Arial Narrow" w:hAnsi="Arial Narrow" w:cs="Arial"/>
              </w:rPr>
            </w:pPr>
            <w:r w:rsidRPr="00C63E27">
              <w:rPr>
                <w:rFonts w:ascii="Arial Narrow" w:hAnsi="Arial Narrow" w:cs="Arial"/>
                <w:sz w:val="22"/>
                <w:szCs w:val="22"/>
                <w:shd w:val="clear" w:color="auto" w:fill="FFFFFF" w:themeFill="background1"/>
              </w:rPr>
              <w:t>Date Submitted</w:t>
            </w:r>
            <w:r w:rsidR="00A51F47" w:rsidRPr="00C63E27">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C63E27" w:rsidRDefault="00551747" w:rsidP="00254735">
            <w:pPr>
              <w:rPr>
                <w:rFonts w:ascii="Arial Narrow" w:hAnsi="Arial Narrow" w:cs="Arial"/>
              </w:rPr>
            </w:pPr>
            <w:r>
              <w:rPr>
                <w:rFonts w:ascii="Arial Narrow" w:hAnsi="Arial Narrow" w:cs="Arial"/>
              </w:rPr>
              <w:t>9/26/12</w:t>
            </w:r>
          </w:p>
        </w:tc>
      </w:tr>
      <w:tr w:rsidR="00B60EE2" w:rsidRPr="00C63E27" w:rsidTr="00A51F47">
        <w:tc>
          <w:tcPr>
            <w:tcW w:w="3348" w:type="dxa"/>
            <w:gridSpan w:val="3"/>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D73961" w:rsidP="00254735">
            <w:pPr>
              <w:rPr>
                <w:rFonts w:ascii="Arial Narrow" w:hAnsi="Arial Narrow"/>
              </w:rPr>
            </w:pPr>
            <w:r>
              <w:rPr>
                <w:rFonts w:ascii="Arial Narrow" w:hAnsi="Arial Narrow"/>
              </w:rPr>
              <w:t xml:space="preserve">Erica </w:t>
            </w:r>
            <w:proofErr w:type="spellStart"/>
            <w:r>
              <w:rPr>
                <w:rFonts w:ascii="Arial Narrow" w:hAnsi="Arial Narrow"/>
              </w:rPr>
              <w:t>Franich</w:t>
            </w:r>
            <w:proofErr w:type="spellEnd"/>
            <w:r>
              <w:rPr>
                <w:rFonts w:ascii="Arial Narrow" w:hAnsi="Arial Narrow"/>
              </w:rPr>
              <w:t>, Director</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875C2A">
              <w:rPr>
                <w:rFonts w:ascii="Arial Narrow" w:hAnsi="Arial Narrow" w:cs="Arial"/>
                <w:b/>
                <w:sz w:val="22"/>
                <w:szCs w:val="22"/>
                <w:u w:val="single"/>
              </w:rPr>
              <w:t>X</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__ No</w:t>
            </w:r>
          </w:p>
        </w:tc>
      </w:tr>
      <w:tr w:rsidR="00A51F47" w:rsidRPr="00C63E27"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875C2A" w:rsidRDefault="00875C2A" w:rsidP="00875C2A">
            <w:r w:rsidRPr="00F81848">
              <w:t xml:space="preserve">The mission of the Northern Michigan University Grants and Research Office is to provide support to NMU faculty, staff and students in applying for internal and external funds for research and other scholarly activities, bringing integrity, clarity and ease to research and grant administration processes at NMU. </w:t>
            </w:r>
          </w:p>
          <w:p w:rsidR="00875C2A" w:rsidRPr="00674A09" w:rsidRDefault="00875C2A" w:rsidP="00875C2A">
            <w:r w:rsidRPr="00674A09">
              <w:t>The Grants and Research Office:</w:t>
            </w:r>
          </w:p>
          <w:p w:rsidR="00875C2A" w:rsidRPr="00674A09" w:rsidRDefault="00875C2A" w:rsidP="00875C2A">
            <w:pPr>
              <w:numPr>
                <w:ilvl w:val="0"/>
                <w:numId w:val="5"/>
              </w:numPr>
              <w:spacing w:before="100" w:beforeAutospacing="1" w:after="100" w:afterAutospacing="1"/>
            </w:pPr>
            <w:r w:rsidRPr="00674A09">
              <w:t>Sets research expectations and directions for basic and applied research and development as well as research and programmatic outreach to help meet the broader goals of the University;</w:t>
            </w:r>
          </w:p>
          <w:p w:rsidR="00875C2A" w:rsidRPr="00674A09" w:rsidRDefault="00875C2A" w:rsidP="00875C2A">
            <w:pPr>
              <w:numPr>
                <w:ilvl w:val="0"/>
                <w:numId w:val="5"/>
              </w:numPr>
              <w:spacing w:before="100" w:beforeAutospacing="1" w:after="100" w:afterAutospacing="1"/>
            </w:pPr>
            <w:r w:rsidRPr="00674A09">
              <w:t>Promotes integrity in the research enterprise by assuring compliance with applicable regulations and requirements for sponsored funding. The office is responsible for protecting NMU’s interests by reviewing proposals to external funding agencies (sponsors), initiating and implementing pre-award policies and procedures, providing training and outreach, and serving as a liaison between sponsors and NMU.</w:t>
            </w:r>
          </w:p>
          <w:p w:rsidR="00875C2A" w:rsidRPr="00674A09" w:rsidRDefault="00875C2A" w:rsidP="00875C2A">
            <w:pPr>
              <w:numPr>
                <w:ilvl w:val="0"/>
                <w:numId w:val="5"/>
              </w:numPr>
              <w:spacing w:before="100" w:beforeAutospacing="1" w:after="100" w:afterAutospacing="1"/>
            </w:pPr>
            <w:r w:rsidRPr="00674A09">
              <w:t xml:space="preserve">Advocates for research and graduate education through execution of policies that support successful funding searchers and award administration. The office coordinates with the NMU Controller’s Office to facilitate effective award setup and management of sponsored projects. </w:t>
            </w:r>
          </w:p>
          <w:p w:rsidR="007C53D1" w:rsidRPr="00875C2A" w:rsidRDefault="00875C2A" w:rsidP="00875C2A">
            <w:pPr>
              <w:spacing w:before="100" w:beforeAutospacing="1" w:after="100" w:afterAutospacing="1"/>
            </w:pPr>
            <w:r w:rsidRPr="00674A09">
              <w:t>Through these activities the Grants and Research Office guides the university’s research endeavors on this forward path to fostering effective scholarly research, program development and student success.</w:t>
            </w:r>
          </w:p>
        </w:tc>
      </w:tr>
    </w:tbl>
    <w:p w:rsidR="00A51F47" w:rsidRPr="009860CD" w:rsidRDefault="00A51F47">
      <w:pPr>
        <w:rPr>
          <w:rFonts w:ascii="Arial Narrow" w:hAnsi="Arial Narrow"/>
          <w:sz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315"/>
        <w:gridCol w:w="283"/>
        <w:gridCol w:w="5322"/>
        <w:gridCol w:w="44"/>
      </w:tblGrid>
      <w:tr w:rsidR="002C4E27" w:rsidRPr="009860CD" w:rsidTr="002C4E27">
        <w:tc>
          <w:tcPr>
            <w:tcW w:w="2424" w:type="pct"/>
            <w:tcBorders>
              <w:top w:val="nil"/>
              <w:left w:val="nil"/>
              <w:bottom w:val="single" w:sz="4" w:space="0" w:color="auto"/>
              <w:right w:val="nil"/>
            </w:tcBorders>
          </w:tcPr>
          <w:p w:rsidR="00A07684" w:rsidRPr="009860CD" w:rsidRDefault="00A07684" w:rsidP="008D37E8">
            <w:pPr>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8D37E8">
            <w:pPr>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8D37E8">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9860CD" w:rsidRDefault="00A07684" w:rsidP="008D37E8">
            <w:pPr>
              <w:rPr>
                <w:rFonts w:ascii="Arial Narrow" w:hAnsi="Arial Narrow" w:cs="Arial"/>
                <w:b/>
              </w:rPr>
            </w:pPr>
            <w:r w:rsidRPr="009860CD">
              <w:rPr>
                <w:rFonts w:ascii="Arial Narrow" w:hAnsi="Arial Narrow" w:cs="Arial"/>
                <w:b/>
                <w:sz w:val="22"/>
                <w:szCs w:val="22"/>
              </w:rPr>
              <w:t xml:space="preserve">Administrative Objective #1 </w:t>
            </w:r>
            <w:r w:rsidRPr="009860CD">
              <w:rPr>
                <w:rFonts w:ascii="Arial Narrow" w:hAnsi="Arial Narrow" w:cs="Arial"/>
                <w:i/>
                <w:sz w:val="22"/>
                <w:szCs w:val="22"/>
              </w:rPr>
              <w:t>(</w:t>
            </w:r>
            <w:r w:rsidRPr="00431236">
              <w:rPr>
                <w:rFonts w:ascii="Arial Narrow" w:hAnsi="Arial Narrow" w:cs="Arial"/>
                <w:i/>
                <w:sz w:val="20"/>
                <w:szCs w:val="22"/>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rsidR="00A07684" w:rsidRPr="009860CD" w:rsidRDefault="00A07684" w:rsidP="008D37E8">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8D37E8">
            <w:pPr>
              <w:rPr>
                <w:rFonts w:ascii="Arial Narrow" w:hAnsi="Arial Narrow"/>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r w:rsidRPr="009860CD">
              <w:rPr>
                <w:rFonts w:ascii="Arial Narrow" w:hAnsi="Arial Narrow" w:cs="Arial"/>
                <w:i/>
                <w:sz w:val="22"/>
                <w:szCs w:val="22"/>
              </w:rPr>
              <w:t xml:space="preserve"> (</w:t>
            </w:r>
            <w:r w:rsidRPr="00431236">
              <w:rPr>
                <w:rFonts w:ascii="Arial Narrow" w:hAnsi="Arial Narrow" w:cs="Arial"/>
                <w:i/>
                <w:sz w:val="20"/>
                <w:szCs w:val="22"/>
              </w:rPr>
              <w:t>Describe the statistic or criteria that measures success in achieving this goal.  What is the desired and/or minimum target you expect</w:t>
            </w:r>
            <w:r w:rsidRPr="00431236">
              <w:rPr>
                <w:rFonts w:ascii="Arial Narrow" w:hAnsi="Arial Narrow" w:cs="Arial"/>
                <w:sz w:val="20"/>
                <w:szCs w:val="22"/>
              </w:rPr>
              <w:t xml:space="preserve">? </w:t>
            </w:r>
            <w:r w:rsidRPr="00431236">
              <w:rPr>
                <w:rFonts w:ascii="Arial Narrow" w:hAnsi="Arial Narrow" w:cs="Arial"/>
                <w:i/>
                <w:sz w:val="20"/>
                <w:szCs w:val="22"/>
              </w:rPr>
              <w:t>What method is used to collect the data for the statistic</w:t>
            </w:r>
            <w:r w:rsidRPr="00431236">
              <w:rPr>
                <w:rFonts w:ascii="Arial Narrow" w:hAnsi="Arial Narrow" w:cs="Arial"/>
                <w:sz w:val="20"/>
                <w:szCs w:val="22"/>
              </w:rPr>
              <w:t>?)</w:t>
            </w:r>
          </w:p>
        </w:tc>
      </w:tr>
      <w:tr w:rsidR="002C4E27" w:rsidRPr="00431236" w:rsidTr="002C4E27">
        <w:tc>
          <w:tcPr>
            <w:tcW w:w="2424" w:type="pct"/>
            <w:tcBorders>
              <w:top w:val="nil"/>
              <w:left w:val="single" w:sz="4" w:space="0" w:color="auto"/>
              <w:bottom w:val="single" w:sz="4" w:space="0" w:color="auto"/>
              <w:right w:val="nil"/>
            </w:tcBorders>
            <w:shd w:val="clear" w:color="auto" w:fill="F2F2F2" w:themeFill="background1" w:themeFillShade="F2"/>
          </w:tcPr>
          <w:p w:rsidR="00B6584C" w:rsidRPr="008871EE" w:rsidRDefault="00FE3472" w:rsidP="00972106">
            <w:pPr>
              <w:spacing w:after="240"/>
              <w:rPr>
                <w:rFonts w:ascii="Arial Narrow" w:hAnsi="Arial Narrow" w:cs="Arial"/>
                <w:sz w:val="22"/>
                <w:szCs w:val="22"/>
              </w:rPr>
            </w:pPr>
            <w:r w:rsidRPr="00431236">
              <w:rPr>
                <w:rFonts w:ascii="Arial Narrow" w:hAnsi="Arial Narrow" w:cs="Arial"/>
                <w:i/>
                <w:sz w:val="20"/>
                <w:szCs w:val="22"/>
              </w:rPr>
              <w:t>Objective</w:t>
            </w:r>
            <w:r w:rsidRPr="00431236">
              <w:rPr>
                <w:rFonts w:ascii="Arial Narrow" w:hAnsi="Arial Narrow" w:cs="Arial"/>
                <w:sz w:val="22"/>
                <w:szCs w:val="22"/>
              </w:rPr>
              <w:t>:</w:t>
            </w:r>
            <w:r w:rsidR="008D37E8">
              <w:rPr>
                <w:rFonts w:ascii="Arial Narrow" w:hAnsi="Arial Narrow" w:cs="Arial"/>
                <w:sz w:val="22"/>
                <w:szCs w:val="22"/>
              </w:rPr>
              <w:t xml:space="preserve"> </w:t>
            </w:r>
            <w:r w:rsidR="00640B3A" w:rsidRPr="008871EE">
              <w:rPr>
                <w:rFonts w:ascii="Arial Narrow" w:hAnsi="Arial Narrow" w:cs="Arial"/>
                <w:sz w:val="22"/>
                <w:szCs w:val="22"/>
              </w:rPr>
              <w:t xml:space="preserve">A key immediate goal for this office is to increase the number of proposals, both internal and external, submitted overall with effort heavily weighted toward external funding. </w:t>
            </w:r>
            <w:r w:rsidR="00607B8E" w:rsidRPr="008871EE">
              <w:rPr>
                <w:rFonts w:ascii="Arial Narrow" w:hAnsi="Arial Narrow" w:cs="Arial"/>
                <w:sz w:val="22"/>
                <w:szCs w:val="22"/>
              </w:rPr>
              <w:t xml:space="preserve">While increasing total proposals submitted is a goal, a key factor of measured growth for the upcoming year, FY12-13, will be to </w:t>
            </w:r>
            <w:r w:rsidR="00B6584C" w:rsidRPr="008871EE">
              <w:rPr>
                <w:rFonts w:ascii="Arial Narrow" w:hAnsi="Arial Narrow" w:cs="Arial"/>
                <w:sz w:val="22"/>
                <w:szCs w:val="22"/>
              </w:rPr>
              <w:t>set an upward trend in</w:t>
            </w:r>
            <w:r w:rsidR="00607B8E" w:rsidRPr="008871EE">
              <w:rPr>
                <w:rFonts w:ascii="Arial Narrow" w:hAnsi="Arial Narrow" w:cs="Arial"/>
                <w:sz w:val="22"/>
                <w:szCs w:val="22"/>
              </w:rPr>
              <w:t xml:space="preserve"> the number of applied/basic research proposals to external funding sources</w:t>
            </w:r>
            <w:r w:rsidR="00B6584C" w:rsidRPr="008871EE">
              <w:rPr>
                <w:rFonts w:ascii="Arial Narrow" w:hAnsi="Arial Narrow" w:cs="Arial"/>
                <w:sz w:val="22"/>
                <w:szCs w:val="22"/>
              </w:rPr>
              <w:t xml:space="preserve">. </w:t>
            </w:r>
            <w:r w:rsidR="00607B8E" w:rsidRPr="008871EE">
              <w:rPr>
                <w:rFonts w:ascii="Arial Narrow" w:hAnsi="Arial Narrow" w:cs="Arial"/>
                <w:sz w:val="22"/>
                <w:szCs w:val="22"/>
              </w:rPr>
              <w:t xml:space="preserve"> </w:t>
            </w:r>
          </w:p>
          <w:p w:rsidR="0031001E" w:rsidRPr="008871EE" w:rsidRDefault="00640B3A" w:rsidP="00972106">
            <w:pPr>
              <w:spacing w:after="240"/>
              <w:rPr>
                <w:rFonts w:ascii="Arial Narrow" w:hAnsi="Arial Narrow" w:cs="Arial"/>
                <w:sz w:val="22"/>
                <w:szCs w:val="22"/>
              </w:rPr>
            </w:pPr>
            <w:r w:rsidRPr="008871EE">
              <w:rPr>
                <w:rFonts w:ascii="Arial Narrow" w:hAnsi="Arial Narrow" w:cs="Arial"/>
                <w:sz w:val="22"/>
                <w:szCs w:val="22"/>
              </w:rPr>
              <w:t xml:space="preserve">According to records within the office, </w:t>
            </w:r>
            <w:r w:rsidR="00B6584C" w:rsidRPr="008871EE">
              <w:rPr>
                <w:rFonts w:ascii="Arial Narrow" w:hAnsi="Arial Narrow" w:cs="Arial"/>
                <w:sz w:val="22"/>
                <w:szCs w:val="22"/>
              </w:rPr>
              <w:t>the grant majority of the ~50 proposals submitted annually</w:t>
            </w:r>
            <w:r w:rsidRPr="008871EE">
              <w:rPr>
                <w:rFonts w:ascii="Arial Narrow" w:hAnsi="Arial Narrow" w:cs="Arial"/>
                <w:sz w:val="22"/>
                <w:szCs w:val="22"/>
              </w:rPr>
              <w:t xml:space="preserve"> were</w:t>
            </w:r>
            <w:r w:rsidR="00B6584C" w:rsidRPr="008871EE">
              <w:rPr>
                <w:rFonts w:ascii="Arial Narrow" w:hAnsi="Arial Narrow" w:cs="Arial"/>
                <w:sz w:val="22"/>
                <w:szCs w:val="22"/>
              </w:rPr>
              <w:t xml:space="preserve"> either internal (Reassigned Time Awards, Faculty Grants; just re-allocating internal resources) or small projects worth &lt;$10,000 </w:t>
            </w:r>
            <w:r w:rsidRPr="008871EE">
              <w:rPr>
                <w:rFonts w:ascii="Arial Narrow" w:hAnsi="Arial Narrow" w:cs="Arial"/>
                <w:sz w:val="22"/>
                <w:szCs w:val="22"/>
              </w:rPr>
              <w:t xml:space="preserve"> in the instruction, development or “other sponsored activity” category (i.e. Motorcycle Safety Training Course, College Day, Law Enforcement Training, Bus Driver Safety Program, etc.)</w:t>
            </w:r>
            <w:r w:rsidR="00B6584C" w:rsidRPr="008871EE">
              <w:rPr>
                <w:rFonts w:ascii="Arial Narrow" w:hAnsi="Arial Narrow" w:cs="Arial"/>
                <w:sz w:val="22"/>
                <w:szCs w:val="22"/>
              </w:rPr>
              <w:t xml:space="preserve"> There were very few applied research projects. </w:t>
            </w:r>
            <w:r w:rsidR="0031001E" w:rsidRPr="008871EE">
              <w:rPr>
                <w:rFonts w:ascii="Arial Narrow" w:hAnsi="Arial Narrow" w:cs="Arial"/>
                <w:sz w:val="22"/>
                <w:szCs w:val="22"/>
              </w:rPr>
              <w:t xml:space="preserve">Of the 69 total submissions in FY10-11 (including fellowships) 51 were awarded. This is a grand success rate overall, but only 8 </w:t>
            </w:r>
            <w:proofErr w:type="gramStart"/>
            <w:r w:rsidR="0031001E" w:rsidRPr="008871EE">
              <w:rPr>
                <w:rFonts w:ascii="Arial Narrow" w:hAnsi="Arial Narrow" w:cs="Arial"/>
                <w:sz w:val="22"/>
                <w:szCs w:val="22"/>
              </w:rPr>
              <w:t xml:space="preserve">were </w:t>
            </w:r>
            <w:r w:rsidRPr="008871EE">
              <w:rPr>
                <w:rFonts w:ascii="Arial Narrow" w:hAnsi="Arial Narrow" w:cs="Arial"/>
                <w:sz w:val="22"/>
                <w:szCs w:val="22"/>
              </w:rPr>
              <w:t xml:space="preserve"> applied</w:t>
            </w:r>
            <w:proofErr w:type="gramEnd"/>
            <w:r w:rsidRPr="008871EE">
              <w:rPr>
                <w:rFonts w:ascii="Arial Narrow" w:hAnsi="Arial Narrow" w:cs="Arial"/>
                <w:sz w:val="22"/>
                <w:szCs w:val="22"/>
              </w:rPr>
              <w:t xml:space="preserve"> or basic research proposals</w:t>
            </w:r>
            <w:r w:rsidR="0031001E" w:rsidRPr="008871EE">
              <w:rPr>
                <w:rFonts w:ascii="Arial Narrow" w:hAnsi="Arial Narrow" w:cs="Arial"/>
                <w:sz w:val="22"/>
                <w:szCs w:val="22"/>
              </w:rPr>
              <w:t xml:space="preserve"> submitted to external agencies (NIH, NSF, NASA, </w:t>
            </w:r>
            <w:proofErr w:type="spellStart"/>
            <w:r w:rsidR="0031001E" w:rsidRPr="008871EE">
              <w:rPr>
                <w:rFonts w:ascii="Arial Narrow" w:hAnsi="Arial Narrow" w:cs="Arial"/>
                <w:sz w:val="22"/>
                <w:szCs w:val="22"/>
              </w:rPr>
              <w:t>etc</w:t>
            </w:r>
            <w:proofErr w:type="spellEnd"/>
            <w:r w:rsidR="0031001E" w:rsidRPr="008871EE">
              <w:rPr>
                <w:rFonts w:ascii="Arial Narrow" w:hAnsi="Arial Narrow" w:cs="Arial"/>
                <w:sz w:val="22"/>
                <w:szCs w:val="22"/>
              </w:rPr>
              <w:t xml:space="preserve">). </w:t>
            </w:r>
            <w:proofErr w:type="gramStart"/>
            <w:r w:rsidR="0031001E" w:rsidRPr="008871EE">
              <w:rPr>
                <w:rFonts w:ascii="Arial Narrow" w:hAnsi="Arial Narrow" w:cs="Arial"/>
                <w:sz w:val="22"/>
                <w:szCs w:val="22"/>
              </w:rPr>
              <w:t>Of these 8 only 1</w:t>
            </w:r>
            <w:proofErr w:type="gramEnd"/>
            <w:r w:rsidR="0031001E" w:rsidRPr="008871EE">
              <w:rPr>
                <w:rFonts w:ascii="Arial Narrow" w:hAnsi="Arial Narrow" w:cs="Arial"/>
                <w:sz w:val="22"/>
                <w:szCs w:val="22"/>
              </w:rPr>
              <w:t xml:space="preserve"> was </w:t>
            </w:r>
            <w:r w:rsidR="0031001E" w:rsidRPr="008871EE">
              <w:rPr>
                <w:rFonts w:ascii="Arial Narrow" w:hAnsi="Arial Narrow" w:cs="Arial"/>
                <w:sz w:val="22"/>
                <w:szCs w:val="22"/>
              </w:rPr>
              <w:lastRenderedPageBreak/>
              <w:t xml:space="preserve">awarded. This suggests it is time to re-evaluate the support offered faculty attempting these larger, more involved submissions and increase 1) the number of large research proposals submitted and 2) the success rate by increasing the quality of proposals submitted. </w:t>
            </w:r>
          </w:p>
          <w:p w:rsidR="00B727BB" w:rsidRDefault="0031001E" w:rsidP="00972106">
            <w:pPr>
              <w:spacing w:after="240"/>
              <w:rPr>
                <w:rFonts w:ascii="Arial Narrow" w:hAnsi="Arial Narrow" w:cs="Arial"/>
                <w:color w:val="FF0000"/>
                <w:sz w:val="22"/>
                <w:szCs w:val="22"/>
              </w:rPr>
            </w:pPr>
            <w:r w:rsidRPr="008871EE">
              <w:rPr>
                <w:rFonts w:ascii="Arial Narrow" w:hAnsi="Arial Narrow" w:cs="Arial"/>
                <w:sz w:val="22"/>
                <w:szCs w:val="22"/>
              </w:rPr>
              <w:t xml:space="preserve">These goals (increases) apply both to applied/basic research in sciences as well as submissions to humanities </w:t>
            </w:r>
            <w:r w:rsidR="00B727BB" w:rsidRPr="008871EE">
              <w:rPr>
                <w:rFonts w:ascii="Arial Narrow" w:hAnsi="Arial Narrow" w:cs="Arial"/>
                <w:sz w:val="22"/>
                <w:szCs w:val="22"/>
              </w:rPr>
              <w:t>agencies. There are similar statistics for substantial requests (~$100K) for humanities projects (publishing for example), and the same approach applies: Increase support offered, increase quality and quantity of submissions, eventually increase success rate.</w:t>
            </w:r>
          </w:p>
          <w:p w:rsidR="00254735" w:rsidRDefault="00B727BB" w:rsidP="00972106">
            <w:pPr>
              <w:spacing w:after="240"/>
              <w:rPr>
                <w:rFonts w:ascii="Arial Narrow" w:hAnsi="Arial Narrow" w:cs="Arial"/>
                <w:sz w:val="22"/>
                <w:szCs w:val="22"/>
              </w:rPr>
            </w:pPr>
            <w:r>
              <w:rPr>
                <w:rFonts w:ascii="Arial Narrow" w:hAnsi="Arial Narrow" w:cs="Arial"/>
                <w:sz w:val="22"/>
                <w:szCs w:val="22"/>
              </w:rPr>
              <w:t xml:space="preserve">Our intent is to </w:t>
            </w:r>
            <w:proofErr w:type="spellStart"/>
            <w:r>
              <w:rPr>
                <w:rFonts w:ascii="Arial Narrow" w:hAnsi="Arial Narrow" w:cs="Arial"/>
                <w:sz w:val="22"/>
                <w:szCs w:val="22"/>
              </w:rPr>
              <w:t>d</w:t>
            </w:r>
            <w:r w:rsidR="008D37E8">
              <w:rPr>
                <w:rFonts w:ascii="Arial Narrow" w:hAnsi="Arial Narrow" w:cs="Arial"/>
                <w:sz w:val="22"/>
                <w:szCs w:val="22"/>
              </w:rPr>
              <w:t>velop</w:t>
            </w:r>
            <w:proofErr w:type="spellEnd"/>
            <w:r w:rsidR="008D37E8">
              <w:rPr>
                <w:rFonts w:ascii="Arial Narrow" w:hAnsi="Arial Narrow" w:cs="Arial"/>
                <w:sz w:val="22"/>
                <w:szCs w:val="22"/>
              </w:rPr>
              <w:t xml:space="preserve"> new methods, policies and procedures that will increase ease and efficiency of all internal and external proposal submissions. By making</w:t>
            </w:r>
            <w:r w:rsidR="00390363">
              <w:rPr>
                <w:rFonts w:ascii="Arial Narrow" w:hAnsi="Arial Narrow" w:cs="Arial"/>
                <w:sz w:val="22"/>
                <w:szCs w:val="22"/>
              </w:rPr>
              <w:t xml:space="preserve"> the</w:t>
            </w:r>
            <w:r w:rsidR="008D37E8">
              <w:rPr>
                <w:rFonts w:ascii="Arial Narrow" w:hAnsi="Arial Narrow" w:cs="Arial"/>
                <w:sz w:val="22"/>
                <w:szCs w:val="22"/>
              </w:rPr>
              <w:t xml:space="preserve"> proposal submission</w:t>
            </w:r>
            <w:r w:rsidR="00390363">
              <w:rPr>
                <w:rFonts w:ascii="Arial Narrow" w:hAnsi="Arial Narrow" w:cs="Arial"/>
                <w:sz w:val="22"/>
                <w:szCs w:val="22"/>
              </w:rPr>
              <w:t xml:space="preserve"> process</w:t>
            </w:r>
            <w:r w:rsidR="008D37E8">
              <w:rPr>
                <w:rFonts w:ascii="Arial Narrow" w:hAnsi="Arial Narrow" w:cs="Arial"/>
                <w:sz w:val="22"/>
                <w:szCs w:val="22"/>
              </w:rPr>
              <w:t xml:space="preserve"> more attainable for faculty, students and staff, proposals will increase in quality, which will increase competitiveness for funding, thus increasing the success rate of proposals. An increase in funded projects, both internal and external, will result in greater quantity of applied and basic research projects, faculty and student development, outreach and other sponsored projects. Such projects, whether applied research in the sciences or </w:t>
            </w:r>
            <w:r w:rsidR="00A77BAF">
              <w:rPr>
                <w:rFonts w:ascii="Arial Narrow" w:hAnsi="Arial Narrow" w:cs="Arial"/>
                <w:sz w:val="22"/>
                <w:szCs w:val="22"/>
              </w:rPr>
              <w:t>community outreach activities, would connect with a number of NMU Strategic Plan Road Map to 2015 Goals:</w:t>
            </w: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C01C19" w:rsidP="00C63E27">
            <w:pPr>
              <w:rPr>
                <w:rFonts w:ascii="Arial Narrow" w:hAnsi="Arial Narrow"/>
              </w:rPr>
            </w:pPr>
            <w:r>
              <w:rPr>
                <w:rFonts w:ascii="Arial Narrow" w:hAnsi="Arial Narrow"/>
                <w:sz w:val="20"/>
                <w:szCs w:val="22"/>
                <w:u w:val="single"/>
              </w:rPr>
              <w:t>×</w:t>
            </w:r>
            <w:r w:rsidR="00C63E27" w:rsidRPr="00431236">
              <w:rPr>
                <w:rFonts w:ascii="Arial Narrow" w:hAnsi="Arial Narrow"/>
                <w:sz w:val="20"/>
                <w:szCs w:val="22"/>
              </w:rPr>
              <w:t xml:space="preserve"> Effectiveness/quality action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Efficiency/cost action   </w:t>
            </w:r>
          </w:p>
          <w:p w:rsidR="00C63E27" w:rsidRPr="00431236" w:rsidRDefault="00C01C19" w:rsidP="00C63E27">
            <w:pPr>
              <w:rPr>
                <w:rFonts w:ascii="Arial Narrow" w:hAnsi="Arial Narrow"/>
              </w:rPr>
            </w:pPr>
            <w:r>
              <w:rPr>
                <w:rFonts w:ascii="Arial Narrow" w:hAnsi="Arial Narrow"/>
                <w:sz w:val="20"/>
                <w:szCs w:val="22"/>
                <w:u w:val="single"/>
              </w:rPr>
              <w:t>×</w:t>
            </w:r>
            <w:r w:rsidR="00C63E27" w:rsidRPr="00431236">
              <w:rPr>
                <w:rFonts w:ascii="Arial Narrow" w:hAnsi="Arial Narrow"/>
                <w:sz w:val="20"/>
                <w:szCs w:val="22"/>
                <w:u w:val="single"/>
              </w:rPr>
              <w:t xml:space="preserve"> </w:t>
            </w:r>
            <w:r w:rsidR="00C63E27" w:rsidRPr="00431236">
              <w:rPr>
                <w:rFonts w:ascii="Arial Narrow" w:hAnsi="Arial Narrow"/>
                <w:sz w:val="20"/>
                <w:szCs w:val="22"/>
              </w:rPr>
              <w:t xml:space="preserve">Compliance issue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Satisfaction measure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D10BF2">
              <w:rPr>
                <w:rFonts w:ascii="Arial Narrow" w:hAnsi="Arial Narrow"/>
                <w:i/>
                <w:sz w:val="20"/>
                <w:szCs w:val="20"/>
              </w:rPr>
              <w:t>Category 2: Accomplishing Other Distinctive Objectives; Category 6: Supporting Institutional Operations; Category 8: Planning Continuous Improvement; and Category 9: Building Collaborative Relationships</w:t>
            </w:r>
          </w:p>
          <w:p w:rsidR="00C63E27" w:rsidRP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C01C19">
              <w:rPr>
                <w:rFonts w:ascii="Arial Narrow" w:hAnsi="Arial Narrow"/>
                <w:sz w:val="22"/>
                <w:szCs w:val="22"/>
              </w:rPr>
              <w:t>CA-2, CA-3; CE-1, CE-3, CE-4</w:t>
            </w:r>
          </w:p>
        </w:tc>
        <w:tc>
          <w:tcPr>
            <w:tcW w:w="129" w:type="pct"/>
            <w:tcBorders>
              <w:top w:val="nil"/>
              <w:left w:val="nil"/>
              <w:bottom w:val="single" w:sz="4" w:space="0" w:color="auto"/>
              <w:right w:val="nil"/>
            </w:tcBorders>
          </w:tcPr>
          <w:p w:rsidR="00254735" w:rsidRPr="00431236" w:rsidRDefault="00254735" w:rsidP="000A1CAE">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8871EE" w:rsidRDefault="00D87221" w:rsidP="008871EE">
            <w:pPr>
              <w:rPr>
                <w:rFonts w:ascii="Arial Narrow" w:hAnsi="Arial Narrow" w:cs="Arial"/>
                <w:sz w:val="22"/>
                <w:szCs w:val="22"/>
              </w:rPr>
            </w:pPr>
            <w:r>
              <w:rPr>
                <w:rFonts w:ascii="Arial Narrow" w:hAnsi="Arial Narrow" w:cs="Arial"/>
                <w:i/>
                <w:sz w:val="20"/>
                <w:szCs w:val="22"/>
              </w:rPr>
              <w:t>Measures</w:t>
            </w:r>
            <w:r w:rsidR="00FE3472" w:rsidRPr="00431236">
              <w:rPr>
                <w:rFonts w:ascii="Arial Narrow" w:hAnsi="Arial Narrow" w:cs="Arial"/>
                <w:sz w:val="22"/>
                <w:szCs w:val="22"/>
              </w:rPr>
              <w:t>:</w:t>
            </w:r>
            <w:r w:rsidR="00C01C19">
              <w:rPr>
                <w:rFonts w:ascii="Arial Narrow" w:hAnsi="Arial Narrow" w:cs="Arial"/>
                <w:sz w:val="22"/>
                <w:szCs w:val="22"/>
              </w:rPr>
              <w:t xml:space="preserve"> </w:t>
            </w:r>
          </w:p>
          <w:p w:rsidR="00CE01D3" w:rsidRDefault="00C01C19" w:rsidP="000A1CAE">
            <w:pPr>
              <w:rPr>
                <w:rFonts w:ascii="Arial Narrow" w:hAnsi="Arial Narrow" w:cs="Arial"/>
                <w:sz w:val="22"/>
                <w:szCs w:val="22"/>
              </w:rPr>
            </w:pPr>
            <w:r>
              <w:rPr>
                <w:rFonts w:ascii="Arial Narrow" w:hAnsi="Arial Narrow" w:cs="Arial"/>
                <w:sz w:val="22"/>
                <w:szCs w:val="22"/>
              </w:rPr>
              <w:t xml:space="preserve">This will be achieved through </w:t>
            </w:r>
            <w:r w:rsidR="00B05CE1">
              <w:rPr>
                <w:rFonts w:ascii="Arial Narrow" w:hAnsi="Arial Narrow" w:cs="Arial"/>
                <w:sz w:val="22"/>
                <w:szCs w:val="22"/>
              </w:rPr>
              <w:t xml:space="preserve">focus on infrastructure development: </w:t>
            </w:r>
            <w:r>
              <w:rPr>
                <w:rFonts w:ascii="Arial Narrow" w:hAnsi="Arial Narrow" w:cs="Arial"/>
                <w:sz w:val="22"/>
                <w:szCs w:val="22"/>
              </w:rPr>
              <w:t>efforts to develop more effective methods, policies and procedures for proposal submission:</w:t>
            </w:r>
          </w:p>
          <w:p w:rsidR="00C01C19" w:rsidRDefault="007932D7" w:rsidP="00C01C19">
            <w:pPr>
              <w:pStyle w:val="ListParagraph"/>
              <w:numPr>
                <w:ilvl w:val="0"/>
                <w:numId w:val="6"/>
              </w:numPr>
              <w:rPr>
                <w:rFonts w:ascii="Arial Narrow" w:hAnsi="Arial Narrow" w:cs="Arial"/>
              </w:rPr>
            </w:pPr>
            <w:r>
              <w:rPr>
                <w:rFonts w:ascii="Arial Narrow" w:hAnsi="Arial Narrow" w:cs="Arial"/>
              </w:rPr>
              <w:t>Develop document templates: Creating necessary pieces of a proposal can hinder faculty’s willingness to attempt proposal submission, as well as the quality and potential compliance with university, funding agency and federal funding policies. By mid-September 2012 templates for budget, budget narrative, CV (NSF compliant), cover sheet, Proposal Summary (NSF/Federal compliant) and Proposal Narrative (NSF/Federal compliant) will be available to all faculty to assist in every proposal submission. These templates will also ensure proposals are compliant with university, funding agency and federal (OMB Circulars) regulations regarding sponsored projects and regulated funding.</w:t>
            </w:r>
          </w:p>
          <w:p w:rsidR="00C01C19" w:rsidRDefault="00C01C19" w:rsidP="00C01C19">
            <w:pPr>
              <w:pStyle w:val="ListParagraph"/>
              <w:numPr>
                <w:ilvl w:val="0"/>
                <w:numId w:val="6"/>
              </w:numPr>
              <w:rPr>
                <w:rFonts w:ascii="Arial Narrow" w:hAnsi="Arial Narrow" w:cs="Arial"/>
              </w:rPr>
            </w:pPr>
            <w:r>
              <w:rPr>
                <w:rFonts w:ascii="Arial Narrow" w:hAnsi="Arial Narrow" w:cs="Arial"/>
              </w:rPr>
              <w:lastRenderedPageBreak/>
              <w:t>Policies regarding office support</w:t>
            </w:r>
            <w:r w:rsidR="007932D7">
              <w:rPr>
                <w:rFonts w:ascii="Arial Narrow" w:hAnsi="Arial Narrow" w:cs="Arial"/>
              </w:rPr>
              <w:t xml:space="preserve">: Previously </w:t>
            </w:r>
            <w:proofErr w:type="gramStart"/>
            <w:r w:rsidR="007932D7">
              <w:rPr>
                <w:rFonts w:ascii="Arial Narrow" w:hAnsi="Arial Narrow" w:cs="Arial"/>
              </w:rPr>
              <w:t>faculty were</w:t>
            </w:r>
            <w:proofErr w:type="gramEnd"/>
            <w:r w:rsidR="007932D7">
              <w:rPr>
                <w:rFonts w:ascii="Arial Narrow" w:hAnsi="Arial Narrow" w:cs="Arial"/>
              </w:rPr>
              <w:t xml:space="preserve"> largely responsible for much of the pre-award (proposal preparation) work, while the G&amp;R office largely facilitated filing of documents and garnering necessary approval signatures. As of hire of the new director (8/29/12) the G&amp;R office will provide all levels of support necessary to ensure quality, competitive proposals are submitted to </w:t>
            </w:r>
            <w:proofErr w:type="gramStart"/>
            <w:r w:rsidR="007932D7">
              <w:rPr>
                <w:rFonts w:ascii="Arial Narrow" w:hAnsi="Arial Narrow" w:cs="Arial"/>
              </w:rPr>
              <w:t>varied</w:t>
            </w:r>
            <w:proofErr w:type="gramEnd"/>
            <w:r w:rsidR="007932D7">
              <w:rPr>
                <w:rFonts w:ascii="Arial Narrow" w:hAnsi="Arial Narrow" w:cs="Arial"/>
              </w:rPr>
              <w:t xml:space="preserve"> funding agencies. This will include searches for funding opportunities, </w:t>
            </w:r>
            <w:r w:rsidR="003E48AB">
              <w:rPr>
                <w:rFonts w:ascii="Arial Narrow" w:hAnsi="Arial Narrow" w:cs="Arial"/>
              </w:rPr>
              <w:t xml:space="preserve">task management and preparation of required documents, editing/proofing of all text, budget preparation, internal approval and proposal submission. The office will also support </w:t>
            </w:r>
            <w:proofErr w:type="spellStart"/>
            <w:r w:rsidR="003E48AB">
              <w:rPr>
                <w:rFonts w:ascii="Arial Narrow" w:hAnsi="Arial Narrow" w:cs="Arial"/>
              </w:rPr>
              <w:t>postaward</w:t>
            </w:r>
            <w:proofErr w:type="spellEnd"/>
            <w:r w:rsidR="003E48AB">
              <w:rPr>
                <w:rFonts w:ascii="Arial Narrow" w:hAnsi="Arial Narrow" w:cs="Arial"/>
              </w:rPr>
              <w:t xml:space="preserve"> management by working with the Controller’s Office for award setup and budget tracking, as well as support for all required award/project reporting. </w:t>
            </w:r>
          </w:p>
          <w:p w:rsidR="00C01C19" w:rsidRDefault="00C01C19" w:rsidP="00C01C19">
            <w:pPr>
              <w:pStyle w:val="ListParagraph"/>
              <w:numPr>
                <w:ilvl w:val="0"/>
                <w:numId w:val="6"/>
              </w:numPr>
              <w:rPr>
                <w:rFonts w:ascii="Arial Narrow" w:hAnsi="Arial Narrow" w:cs="Arial"/>
              </w:rPr>
            </w:pPr>
            <w:r>
              <w:rPr>
                <w:rFonts w:ascii="Arial Narrow" w:hAnsi="Arial Narrow" w:cs="Arial"/>
              </w:rPr>
              <w:t xml:space="preserve">Interaction with faculty- </w:t>
            </w:r>
            <w:r w:rsidR="003E48AB">
              <w:rPr>
                <w:rFonts w:ascii="Arial Narrow" w:hAnsi="Arial Narrow" w:cs="Arial"/>
              </w:rPr>
              <w:t>Increased communication with faculty/researche</w:t>
            </w:r>
            <w:r w:rsidR="00961DC4">
              <w:rPr>
                <w:rFonts w:ascii="Arial Narrow" w:hAnsi="Arial Narrow" w:cs="Arial"/>
              </w:rPr>
              <w:t>r</w:t>
            </w:r>
            <w:r w:rsidR="003E48AB">
              <w:rPr>
                <w:rFonts w:ascii="Arial Narrow" w:hAnsi="Arial Narrow" w:cs="Arial"/>
              </w:rPr>
              <w:t>s is necessary to implement and ut</w:t>
            </w:r>
            <w:r w:rsidR="00961DC4">
              <w:rPr>
                <w:rFonts w:ascii="Arial Narrow" w:hAnsi="Arial Narrow" w:cs="Arial"/>
              </w:rPr>
              <w:t>ilize these policy and procedural</w:t>
            </w:r>
            <w:r w:rsidR="003E48AB">
              <w:rPr>
                <w:rFonts w:ascii="Arial Narrow" w:hAnsi="Arial Narrow" w:cs="Arial"/>
              </w:rPr>
              <w:t xml:space="preserve"> changes. A number of meetings, workshops, small group and one-on-one interactions between faculty and G&amp;R Office staff will be held throughout the year to communicate changes and offer guidance for new available tools (templates). </w:t>
            </w:r>
            <w:r w:rsidR="00961DC4">
              <w:rPr>
                <w:rFonts w:ascii="Arial Narrow" w:hAnsi="Arial Narrow" w:cs="Arial"/>
              </w:rPr>
              <w:t xml:space="preserve">Meetings with department heads and deans throughout campus will also help share information regarding services available and potential benefits to faculty and colleges/departments. </w:t>
            </w:r>
            <w:r w:rsidR="008871EE">
              <w:rPr>
                <w:rFonts w:ascii="Arial Narrow" w:hAnsi="Arial Narrow" w:cs="Arial"/>
              </w:rPr>
              <w:t>This will be initiated in 2012-2013 and continue in upcoming years.</w:t>
            </w:r>
          </w:p>
          <w:p w:rsidR="00C01C19" w:rsidRDefault="00C01C19" w:rsidP="00C01C19">
            <w:pPr>
              <w:pStyle w:val="ListParagraph"/>
              <w:numPr>
                <w:ilvl w:val="0"/>
                <w:numId w:val="6"/>
              </w:numPr>
              <w:rPr>
                <w:rFonts w:ascii="Arial Narrow" w:hAnsi="Arial Narrow" w:cs="Arial"/>
              </w:rPr>
            </w:pPr>
            <w:r>
              <w:rPr>
                <w:rFonts w:ascii="Arial Narrow" w:hAnsi="Arial Narrow" w:cs="Arial"/>
              </w:rPr>
              <w:t>Website improvements</w:t>
            </w:r>
            <w:r w:rsidR="006A3B5B">
              <w:rPr>
                <w:rFonts w:ascii="Arial Narrow" w:hAnsi="Arial Narrow" w:cs="Arial"/>
              </w:rPr>
              <w:t xml:space="preserve">: All templates will be made available on the Grants &amp; Research website, as well as information regarding staffing changes, adjustments to mission statement and explanation of policies and procedures. The website will be utilized as a communication tool for interaction with faculty, further increasing opportunities to utilize tools and support. Announcements and scheduling for workshops will also be added to the website. </w:t>
            </w:r>
          </w:p>
          <w:p w:rsidR="00607B8E" w:rsidRPr="009665BF" w:rsidRDefault="00607B8E" w:rsidP="00D23F90">
            <w:pPr>
              <w:pStyle w:val="ListParagraph"/>
              <w:ind w:left="0"/>
              <w:rPr>
                <w:rFonts w:ascii="Arial Narrow" w:hAnsi="Arial Narrow"/>
              </w:rPr>
            </w:pPr>
            <w:r w:rsidRPr="009665BF">
              <w:rPr>
                <w:rFonts w:ascii="Arial Narrow" w:hAnsi="Arial Narrow"/>
                <w:color w:val="FF0000"/>
              </w:rPr>
              <w:t xml:space="preserve"> </w:t>
            </w:r>
          </w:p>
        </w:tc>
      </w:tr>
      <w:tr w:rsidR="002C4E27" w:rsidRPr="009860CD" w:rsidTr="002C4E27">
        <w:tc>
          <w:tcPr>
            <w:tcW w:w="2424" w:type="pct"/>
            <w:tcBorders>
              <w:top w:val="single" w:sz="4" w:space="0" w:color="auto"/>
              <w:left w:val="nil"/>
              <w:bottom w:val="single" w:sz="4" w:space="0" w:color="auto"/>
              <w:right w:val="nil"/>
            </w:tcBorders>
          </w:tcPr>
          <w:p w:rsidR="00A07684" w:rsidRPr="009860CD" w:rsidRDefault="00A07684" w:rsidP="008D37E8">
            <w:pPr>
              <w:spacing w:before="240"/>
              <w:rPr>
                <w:rFonts w:ascii="Arial Narrow" w:hAnsi="Arial Narrow" w:cs="Arial"/>
                <w:b/>
              </w:rPr>
            </w:pPr>
            <w:r>
              <w:rPr>
                <w:rFonts w:ascii="Arial Narrow" w:hAnsi="Arial Narrow" w:cs="Arial"/>
                <w:b/>
                <w:sz w:val="22"/>
                <w:szCs w:val="22"/>
              </w:rPr>
              <w:lastRenderedPageBreak/>
              <w:t>Assessment Report</w:t>
            </w:r>
          </w:p>
        </w:tc>
        <w:tc>
          <w:tcPr>
            <w:tcW w:w="129" w:type="pct"/>
            <w:tcBorders>
              <w:top w:val="single" w:sz="4" w:space="0" w:color="auto"/>
              <w:left w:val="nil"/>
              <w:bottom w:val="single" w:sz="4" w:space="0" w:color="auto"/>
              <w:right w:val="nil"/>
            </w:tcBorders>
          </w:tcPr>
          <w:p w:rsidR="00A07684" w:rsidRPr="009860CD" w:rsidRDefault="00A07684" w:rsidP="008D37E8">
            <w:pPr>
              <w:rPr>
                <w:rFonts w:ascii="Arial Narrow" w:hAnsi="Arial Narrow" w:cs="Arial"/>
              </w:rPr>
            </w:pPr>
          </w:p>
        </w:tc>
        <w:tc>
          <w:tcPr>
            <w:tcW w:w="2447" w:type="pct"/>
            <w:gridSpan w:val="2"/>
            <w:tcBorders>
              <w:top w:val="single" w:sz="4" w:space="0" w:color="auto"/>
              <w:left w:val="nil"/>
              <w:bottom w:val="single" w:sz="4" w:space="0" w:color="auto"/>
              <w:right w:val="nil"/>
            </w:tcBorders>
          </w:tcPr>
          <w:p w:rsidR="00A07684" w:rsidRDefault="00A07684" w:rsidP="008D37E8">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FE3472" w:rsidRDefault="00A07684" w:rsidP="008D37E8">
            <w:pPr>
              <w:spacing w:after="120"/>
              <w:ind w:right="-162"/>
              <w:rPr>
                <w:rFonts w:ascii="Arial Narrow" w:hAnsi="Arial Narrow" w:cs="Arial"/>
                <w:i/>
              </w:rPr>
            </w:pPr>
            <w:r w:rsidRPr="009860CD">
              <w:rPr>
                <w:rFonts w:ascii="Arial Narrow" w:hAnsi="Arial Narrow" w:cs="Arial"/>
                <w:b/>
                <w:sz w:val="22"/>
                <w:szCs w:val="22"/>
              </w:rPr>
              <w:t xml:space="preserve">Summary of Data Collected </w:t>
            </w:r>
            <w:r w:rsidRPr="009860CD">
              <w:rPr>
                <w:rFonts w:ascii="Arial Narrow" w:hAnsi="Arial Narrow" w:cs="Arial"/>
                <w:i/>
                <w:sz w:val="22"/>
                <w:szCs w:val="22"/>
              </w:rPr>
              <w:t>(</w:t>
            </w:r>
            <w:r w:rsidRPr="00431236">
              <w:rPr>
                <w:rFonts w:ascii="Arial Narrow" w:hAnsi="Arial Narrow" w:cs="Arial"/>
                <w:i/>
                <w:sz w:val="20"/>
                <w:szCs w:val="22"/>
              </w:rPr>
              <w:t>Provide trend data and s</w:t>
            </w:r>
            <w:r w:rsidR="00CD1909">
              <w:rPr>
                <w:rFonts w:ascii="Arial Narrow" w:hAnsi="Arial Narrow" w:cs="Arial"/>
                <w:i/>
                <w:sz w:val="20"/>
                <w:szCs w:val="22"/>
              </w:rPr>
              <w:t>ummary</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8D37E8">
            <w:pPr>
              <w:spacing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8D37E8">
            <w:pPr>
              <w:spacing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r w:rsidR="00CD1909">
              <w:rPr>
                <w:rFonts w:ascii="Arial Narrow" w:hAnsi="Arial Narrow" w:cs="Arial"/>
                <w:b/>
                <w:sz w:val="22"/>
                <w:szCs w:val="22"/>
              </w:rPr>
              <w:t xml:space="preserve"> </w:t>
            </w:r>
            <w:r w:rsidR="00CD1909" w:rsidRPr="00243670">
              <w:rPr>
                <w:rFonts w:ascii="Arial Narrow" w:hAnsi="Arial Narrow" w:cs="Arial"/>
                <w:i/>
                <w:sz w:val="20"/>
                <w:szCs w:val="22"/>
              </w:rPr>
              <w:t>(Offers conclusions or interpretation and explains how data was used to make changes for improvement as related to the objective)</w:t>
            </w:r>
          </w:p>
        </w:tc>
      </w:tr>
      <w:tr w:rsidR="007C53D1"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431236">
            <w:pPr>
              <w:rPr>
                <w:rFonts w:ascii="Arial Narrow" w:hAnsi="Arial Narrow"/>
              </w:rPr>
            </w:pPr>
            <w:r w:rsidRPr="009860CD">
              <w:rPr>
                <w:rFonts w:ascii="Arial Narrow" w:hAnsi="Arial Narrow"/>
                <w:sz w:val="22"/>
                <w:szCs w:val="22"/>
              </w:rPr>
              <w:t>(Fill</w:t>
            </w:r>
            <w:r w:rsidR="00431236">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431236" w:rsidP="00431236">
            <w:pPr>
              <w:rPr>
                <w:rFonts w:ascii="Arial Narrow" w:hAnsi="Arial Narrow"/>
              </w:rPr>
            </w:pPr>
            <w:r>
              <w:rPr>
                <w:rFonts w:ascii="Arial Narrow" w:hAnsi="Arial Narrow"/>
                <w:sz w:val="22"/>
                <w:szCs w:val="22"/>
              </w:rPr>
              <w:t>(Fill this cell</w:t>
            </w:r>
            <w:r w:rsidR="007C53D1" w:rsidRPr="009860CD">
              <w:rPr>
                <w:rFonts w:ascii="Arial Narrow" w:hAnsi="Arial Narrow"/>
                <w:sz w:val="22"/>
                <w:szCs w:val="22"/>
              </w:rPr>
              <w:t xml:space="preserve"> only for the REPORT at the end of the year.)</w:t>
            </w:r>
          </w:p>
        </w:tc>
      </w:tr>
      <w:tr w:rsidR="00A07684" w:rsidRPr="009860CD" w:rsidTr="002C4E27">
        <w:tc>
          <w:tcPr>
            <w:tcW w:w="2424" w:type="pct"/>
            <w:tcBorders>
              <w:top w:val="nil"/>
              <w:left w:val="nil"/>
              <w:bottom w:val="single" w:sz="4" w:space="0" w:color="auto"/>
              <w:right w:val="nil"/>
            </w:tcBorders>
          </w:tcPr>
          <w:p w:rsidR="00A07684" w:rsidRPr="009860CD" w:rsidRDefault="00A07684" w:rsidP="008D37E8">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8D37E8">
            <w:pPr>
              <w:spacing w:before="240"/>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8D37E8">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A07684" w:rsidP="008D37E8">
            <w:pPr>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w:t>
            </w:r>
            <w:r w:rsidRPr="00431236">
              <w:rPr>
                <w:rFonts w:ascii="Arial Narrow" w:hAnsi="Arial Narrow" w:cs="Arial"/>
                <w:i/>
                <w:sz w:val="20"/>
                <w:szCs w:val="22"/>
              </w:rPr>
              <w:t>State a 1-2 year objective intended to improve a unit process, service, or output</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8D37E8">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8D37E8">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D6616B" w:rsidRPr="00D14D27" w:rsidRDefault="007C53D1" w:rsidP="0036346B">
            <w:pPr>
              <w:rPr>
                <w:rFonts w:ascii="Arial Narrow" w:hAnsi="Arial Narrow"/>
                <w:i/>
                <w:color w:val="FF0000"/>
                <w:sz w:val="22"/>
                <w:szCs w:val="22"/>
              </w:rPr>
            </w:pPr>
            <w:r w:rsidRPr="00431236">
              <w:rPr>
                <w:rFonts w:ascii="Arial Narrow" w:hAnsi="Arial Narrow"/>
                <w:i/>
                <w:sz w:val="20"/>
                <w:szCs w:val="22"/>
              </w:rPr>
              <w:t>Objective</w:t>
            </w:r>
            <w:r w:rsidRPr="009860CD">
              <w:rPr>
                <w:rFonts w:ascii="Arial Narrow" w:hAnsi="Arial Narrow"/>
                <w:sz w:val="22"/>
                <w:szCs w:val="22"/>
              </w:rPr>
              <w:t>:</w:t>
            </w:r>
            <w:r w:rsidR="00961DC4">
              <w:rPr>
                <w:rFonts w:ascii="Arial Narrow" w:hAnsi="Arial Narrow"/>
                <w:sz w:val="22"/>
                <w:szCs w:val="22"/>
              </w:rPr>
              <w:t xml:space="preserve"> </w:t>
            </w:r>
            <w:r w:rsidR="00D14D27" w:rsidRPr="001B78AF">
              <w:rPr>
                <w:rFonts w:ascii="Arial Narrow" w:hAnsi="Arial Narrow" w:cs="Arial"/>
                <w:sz w:val="22"/>
                <w:szCs w:val="22"/>
              </w:rPr>
              <w:t xml:space="preserve">The long-term goal is to continue growing the office </w:t>
            </w:r>
            <w:r w:rsidR="00D14D27" w:rsidRPr="001B78AF">
              <w:rPr>
                <w:rFonts w:ascii="Arial Narrow" w:hAnsi="Arial Narrow" w:cs="Arial"/>
                <w:sz w:val="22"/>
                <w:szCs w:val="22"/>
              </w:rPr>
              <w:lastRenderedPageBreak/>
              <w:t>and effectively prioritizing efforts to maximize external funding coming into the university</w:t>
            </w:r>
            <w:r w:rsidR="001B78AF" w:rsidRPr="001B78AF">
              <w:rPr>
                <w:rFonts w:ascii="Arial Narrow" w:hAnsi="Arial Narrow" w:cs="Arial"/>
                <w:sz w:val="22"/>
                <w:szCs w:val="22"/>
              </w:rPr>
              <w:t>, while</w:t>
            </w:r>
            <w:r w:rsidR="001B78AF" w:rsidRPr="001B78AF">
              <w:rPr>
                <w:rFonts w:ascii="Arial Narrow" w:hAnsi="Arial Narrow"/>
                <w:sz w:val="22"/>
                <w:szCs w:val="22"/>
              </w:rPr>
              <w:t xml:space="preserve"> </w:t>
            </w:r>
            <w:r w:rsidR="001B78AF">
              <w:rPr>
                <w:rFonts w:ascii="Arial Narrow" w:hAnsi="Arial Narrow"/>
                <w:sz w:val="22"/>
                <w:szCs w:val="22"/>
              </w:rPr>
              <w:t>best utilizing</w:t>
            </w:r>
            <w:r w:rsidR="00961DC4">
              <w:rPr>
                <w:rFonts w:ascii="Arial Narrow" w:hAnsi="Arial Narrow"/>
                <w:sz w:val="22"/>
                <w:szCs w:val="22"/>
              </w:rPr>
              <w:t xml:space="preserve"> the resources available in the office. While specific numbers for overall proposal submission growth have not yet been assigned, tremendous growth, for example from 50/year to 150/year, would hinder the ability of the staff (2 full time, 1 graduate assistant) to provide the necessary support to submit quality proposals for large research proposals. Support for </w:t>
            </w:r>
            <w:r w:rsidR="001B78AF">
              <w:rPr>
                <w:rFonts w:ascii="Arial Narrow" w:hAnsi="Arial Narrow"/>
                <w:sz w:val="22"/>
                <w:szCs w:val="22"/>
              </w:rPr>
              <w:t xml:space="preserve">smaller awards in the few thousand dollar range and internal awards </w:t>
            </w:r>
            <w:r w:rsidR="00961DC4">
              <w:rPr>
                <w:rFonts w:ascii="Arial Narrow" w:hAnsi="Arial Narrow"/>
                <w:sz w:val="22"/>
                <w:szCs w:val="22"/>
              </w:rPr>
              <w:t>will always be available but to increase competitiveness and success of the larger research awards (&gt;$100,000 to federal agencies and private industry/corporations) will need to be prioritized. The new tracking systems</w:t>
            </w:r>
            <w:r w:rsidR="001B78AF">
              <w:rPr>
                <w:rFonts w:ascii="Arial Narrow" w:hAnsi="Arial Narrow"/>
                <w:sz w:val="22"/>
                <w:szCs w:val="22"/>
              </w:rPr>
              <w:t>, Banner particularly,</w:t>
            </w:r>
            <w:r w:rsidR="00961DC4">
              <w:rPr>
                <w:rFonts w:ascii="Arial Narrow" w:hAnsi="Arial Narrow"/>
                <w:sz w:val="22"/>
                <w:szCs w:val="22"/>
              </w:rPr>
              <w:t xml:space="preserve"> will </w:t>
            </w:r>
            <w:r w:rsidR="001B78AF">
              <w:rPr>
                <w:rFonts w:ascii="Arial Narrow" w:hAnsi="Arial Narrow"/>
                <w:sz w:val="22"/>
                <w:szCs w:val="22"/>
              </w:rPr>
              <w:t>allow this office to track information</w:t>
            </w:r>
            <w:r w:rsidR="00961DC4">
              <w:rPr>
                <w:rFonts w:ascii="Arial Narrow" w:hAnsi="Arial Narrow"/>
                <w:sz w:val="22"/>
                <w:szCs w:val="22"/>
              </w:rPr>
              <w:t xml:space="preserve"> regarding reasons for rejection and comments from reviewers for such proposals so the G&amp;R office can consider what proposals have the best chance of success through resubmission. Efforts will then be focused on such “high priority” proposals</w:t>
            </w:r>
            <w:r w:rsidR="001B78AF">
              <w:rPr>
                <w:rFonts w:ascii="Arial Narrow" w:hAnsi="Arial Narrow"/>
                <w:sz w:val="22"/>
                <w:szCs w:val="22"/>
              </w:rPr>
              <w:t xml:space="preserve"> while not neglecting other awards</w:t>
            </w:r>
            <w:r w:rsidR="00961DC4">
              <w:rPr>
                <w:rFonts w:ascii="Arial Narrow" w:hAnsi="Arial Narrow"/>
                <w:sz w:val="22"/>
                <w:szCs w:val="22"/>
              </w:rPr>
              <w:t xml:space="preserve">. </w:t>
            </w:r>
          </w:p>
          <w:p w:rsidR="00B33479" w:rsidRPr="009860CD" w:rsidRDefault="00B33479" w:rsidP="0036346B">
            <w:pPr>
              <w:rPr>
                <w:rFonts w:ascii="Arial Narrow" w:hAnsi="Arial Narrow"/>
              </w:rPr>
            </w:pPr>
          </w:p>
          <w:p w:rsidR="007C53D1" w:rsidRPr="00431236" w:rsidRDefault="007C53D1" w:rsidP="0036346B">
            <w:pPr>
              <w:rPr>
                <w:rFonts w:ascii="Arial Narrow" w:hAnsi="Arial Narrow"/>
              </w:rPr>
            </w:pPr>
            <w:r w:rsidRPr="00431236">
              <w:rPr>
                <w:rFonts w:ascii="Arial Narrow" w:hAnsi="Arial Narrow"/>
                <w:i/>
                <w:sz w:val="20"/>
                <w:szCs w:val="22"/>
              </w:rPr>
              <w:t>Rationale</w:t>
            </w:r>
            <w:r w:rsidR="0078704B" w:rsidRPr="00431236">
              <w:rPr>
                <w:rFonts w:ascii="Arial Narrow" w:hAnsi="Arial Narrow"/>
                <w:i/>
                <w:sz w:val="20"/>
                <w:szCs w:val="22"/>
              </w:rPr>
              <w:t xml:space="preserve"> </w:t>
            </w:r>
            <w:r w:rsidRPr="00431236">
              <w:rPr>
                <w:rFonts w:ascii="Arial Narrow" w:hAnsi="Arial Narrow"/>
                <w:i/>
                <w:sz w:val="20"/>
                <w:szCs w:val="22"/>
              </w:rPr>
              <w:t>(</w:t>
            </w:r>
            <w:r w:rsidR="0078704B" w:rsidRPr="00431236">
              <w:rPr>
                <w:rFonts w:ascii="Arial Narrow" w:hAnsi="Arial Narrow"/>
                <w:i/>
                <w:sz w:val="20"/>
                <w:szCs w:val="22"/>
              </w:rPr>
              <w:t>W</w:t>
            </w:r>
            <w:r w:rsidRPr="00431236">
              <w:rPr>
                <w:rFonts w:ascii="Arial Narrow" w:hAnsi="Arial Narrow"/>
                <w:i/>
                <w:sz w:val="20"/>
                <w:szCs w:val="22"/>
              </w:rPr>
              <w:t>hy you are setting this objective</w:t>
            </w:r>
            <w:r w:rsidR="0078704B" w:rsidRPr="00431236">
              <w:rPr>
                <w:rFonts w:ascii="Arial Narrow" w:hAnsi="Arial Narrow"/>
                <w:i/>
                <w:sz w:val="20"/>
                <w:szCs w:val="22"/>
              </w:rPr>
              <w:t xml:space="preserve">; </w:t>
            </w:r>
            <w:r w:rsidR="00122E20" w:rsidRPr="00431236">
              <w:rPr>
                <w:rFonts w:ascii="Arial Narrow" w:hAnsi="Arial Narrow"/>
                <w:i/>
                <w:sz w:val="20"/>
                <w:szCs w:val="22"/>
              </w:rPr>
              <w:t>mark with “X”</w:t>
            </w:r>
            <w:r w:rsidRPr="00431236">
              <w:rPr>
                <w:rFonts w:ascii="Arial Narrow" w:hAnsi="Arial Narrow"/>
                <w:i/>
                <w:sz w:val="20"/>
                <w:szCs w:val="22"/>
              </w:rPr>
              <w:t>)</w:t>
            </w:r>
            <w:r w:rsidRPr="00431236">
              <w:rPr>
                <w:rFonts w:ascii="Arial Narrow" w:hAnsi="Arial Narrow"/>
                <w:sz w:val="20"/>
                <w:szCs w:val="22"/>
              </w:rPr>
              <w:t>:</w:t>
            </w:r>
          </w:p>
          <w:p w:rsidR="007C53D1" w:rsidRPr="00431236" w:rsidRDefault="001B78AF" w:rsidP="0036346B">
            <w:pPr>
              <w:rPr>
                <w:rFonts w:ascii="Arial Narrow" w:hAnsi="Arial Narrow"/>
              </w:rPr>
            </w:pPr>
            <w:r>
              <w:rPr>
                <w:rFonts w:ascii="Arial Narrow" w:hAnsi="Arial Narrow"/>
                <w:sz w:val="20"/>
                <w:szCs w:val="22"/>
                <w:u w:val="single"/>
              </w:rPr>
              <w:sym w:font="Wingdings" w:char="F0FE"/>
            </w:r>
            <w:r w:rsidR="007C53D1" w:rsidRPr="00431236">
              <w:rPr>
                <w:rFonts w:ascii="Arial Narrow" w:hAnsi="Arial Narrow"/>
                <w:sz w:val="20"/>
                <w:szCs w:val="22"/>
              </w:rPr>
              <w:t xml:space="preserve"> </w:t>
            </w:r>
            <w:r w:rsidR="007C53D1" w:rsidRPr="001B78AF">
              <w:rPr>
                <w:rFonts w:ascii="Arial Narrow" w:hAnsi="Arial Narrow"/>
                <w:sz w:val="20"/>
                <w:szCs w:val="22"/>
              </w:rPr>
              <w:t>Effectiveness/quality</w:t>
            </w:r>
            <w:r w:rsidR="007C53D1" w:rsidRPr="00431236">
              <w:rPr>
                <w:rFonts w:ascii="Arial Narrow" w:hAnsi="Arial Narrow"/>
                <w:sz w:val="20"/>
                <w:szCs w:val="22"/>
              </w:rPr>
              <w:t xml:space="preserve"> action </w:t>
            </w:r>
            <w:r w:rsidR="007C53D1" w:rsidRPr="00431236">
              <w:rPr>
                <w:rFonts w:ascii="Arial Narrow" w:hAnsi="Arial Narrow"/>
                <w:sz w:val="20"/>
                <w:szCs w:val="22"/>
                <w:u w:val="single"/>
              </w:rPr>
              <w:sym w:font="Symbol" w:char="F092"/>
            </w:r>
            <w:r w:rsidR="007C53D1" w:rsidRPr="00431236">
              <w:rPr>
                <w:rFonts w:ascii="Arial Narrow" w:hAnsi="Arial Narrow"/>
                <w:sz w:val="20"/>
                <w:szCs w:val="22"/>
              </w:rPr>
              <w:t xml:space="preserve"> Efficiency/cost action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001B78AF" w:rsidRPr="001B78AF">
              <w:rPr>
                <w:rFonts w:ascii="Arial Narrow" w:hAnsi="Arial Narrow"/>
                <w:sz w:val="20"/>
                <w:szCs w:val="22"/>
                <w:u w:val="single"/>
              </w:rPr>
              <w:sym w:font="Wingdings" w:char="F0FE"/>
            </w:r>
            <w:r w:rsidRPr="001B78AF">
              <w:rPr>
                <w:rFonts w:ascii="Arial Narrow" w:hAnsi="Arial Narrow"/>
                <w:sz w:val="20"/>
                <w:szCs w:val="22"/>
              </w:rPr>
              <w:t xml:space="preserve"> Create baseline</w:t>
            </w:r>
            <w:r w:rsidRPr="00431236">
              <w:rPr>
                <w:rFonts w:ascii="Arial Narrow" w:hAnsi="Arial Narrow"/>
                <w:sz w:val="20"/>
                <w:szCs w:val="22"/>
              </w:rPr>
              <w:t xml:space="preserve">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7C53D1" w:rsidRPr="009860CD" w:rsidRDefault="007C53D1" w:rsidP="0036346B">
            <w:pPr>
              <w:rPr>
                <w:rFonts w:ascii="Arial Narrow" w:hAnsi="Arial Narrow"/>
              </w:rPr>
            </w:pPr>
          </w:p>
          <w:p w:rsidR="00431236" w:rsidRPr="00C63E27" w:rsidRDefault="00C63E27" w:rsidP="00C63E27">
            <w:pPr>
              <w:rPr>
                <w:rFonts w:ascii="Arial Narrow" w:hAnsi="Arial Narrow"/>
                <w:i/>
                <w:sz w:val="20"/>
                <w:szCs w:val="20"/>
              </w:rPr>
            </w:pPr>
            <w:r>
              <w:rPr>
                <w:rFonts w:ascii="Arial Narrow" w:hAnsi="Arial Narrow"/>
                <w:i/>
                <w:sz w:val="20"/>
                <w:szCs w:val="20"/>
              </w:rPr>
              <w:t xml:space="preserve">Alignment </w:t>
            </w:r>
            <w:r w:rsidR="00431236" w:rsidRPr="00C63E27">
              <w:rPr>
                <w:rFonts w:ascii="Arial Narrow" w:hAnsi="Arial Narrow"/>
                <w:i/>
                <w:sz w:val="20"/>
                <w:szCs w:val="20"/>
              </w:rPr>
              <w:t>(Refer to last pages)</w:t>
            </w:r>
          </w:p>
          <w:p w:rsidR="00431236" w:rsidRPr="00C63E27" w:rsidRDefault="00431236" w:rsidP="00C63E27">
            <w:pPr>
              <w:pStyle w:val="ListParagraph"/>
              <w:numPr>
                <w:ilvl w:val="0"/>
                <w:numId w:val="3"/>
              </w:numPr>
              <w:ind w:left="360"/>
              <w:rPr>
                <w:rFonts w:ascii="Arial Narrow" w:hAnsi="Arial Narrow"/>
                <w:i/>
                <w:sz w:val="20"/>
                <w:szCs w:val="20"/>
              </w:rPr>
            </w:pPr>
            <w:r w:rsidRPr="00C63E27">
              <w:rPr>
                <w:rFonts w:ascii="Arial Narrow" w:hAnsi="Arial Narrow"/>
                <w:i/>
                <w:sz w:val="20"/>
                <w:szCs w:val="20"/>
              </w:rPr>
              <w:t xml:space="preserve">Which AQIP category does this address? </w:t>
            </w:r>
          </w:p>
          <w:p w:rsidR="007C53D1" w:rsidRPr="00C63E27" w:rsidRDefault="0078704B" w:rsidP="00C63E27">
            <w:pPr>
              <w:pStyle w:val="ListParagraph"/>
              <w:numPr>
                <w:ilvl w:val="0"/>
                <w:numId w:val="3"/>
              </w:numPr>
              <w:ind w:left="360"/>
              <w:rPr>
                <w:rFonts w:ascii="Arial Narrow" w:hAnsi="Arial Narrow"/>
              </w:rPr>
            </w:pPr>
            <w:r w:rsidRPr="00C63E27">
              <w:rPr>
                <w:rFonts w:ascii="Arial Narrow" w:hAnsi="Arial Narrow"/>
                <w:i/>
                <w:sz w:val="20"/>
                <w:szCs w:val="20"/>
              </w:rPr>
              <w:t>Does</w:t>
            </w:r>
            <w:r w:rsidR="00055B6F" w:rsidRPr="00C63E27">
              <w:rPr>
                <w:rFonts w:ascii="Arial Narrow" w:hAnsi="Arial Narrow"/>
                <w:i/>
                <w:sz w:val="20"/>
                <w:szCs w:val="20"/>
              </w:rPr>
              <w:t xml:space="preserve"> this </w:t>
            </w:r>
            <w:r w:rsidRPr="00C63E27">
              <w:rPr>
                <w:rFonts w:ascii="Arial Narrow" w:hAnsi="Arial Narrow"/>
                <w:i/>
                <w:sz w:val="20"/>
                <w:szCs w:val="20"/>
              </w:rPr>
              <w:t>objective relate</w:t>
            </w:r>
            <w:r w:rsidR="00055B6F" w:rsidRPr="00C63E27">
              <w:rPr>
                <w:rFonts w:ascii="Arial Narrow" w:hAnsi="Arial Narrow"/>
                <w:i/>
                <w:sz w:val="20"/>
                <w:szCs w:val="20"/>
              </w:rPr>
              <w:t xml:space="preserve"> to a Road Map goal? If yes, type the related Road Map codes here</w:t>
            </w:r>
            <w:r w:rsidR="00055B6F" w:rsidRPr="00C63E27">
              <w:rPr>
                <w:rFonts w:ascii="Arial Narrow" w:hAnsi="Arial Narrow"/>
                <w:sz w:val="20"/>
                <w:szCs w:val="20"/>
              </w:rPr>
              <w:t>:</w:t>
            </w:r>
            <w:r w:rsidR="00055B6F" w:rsidRPr="00C63E27">
              <w:rPr>
                <w:rFonts w:ascii="Arial Narrow" w:hAnsi="Arial Narrow"/>
                <w:sz w:val="22"/>
                <w:szCs w:val="22"/>
              </w:rPr>
              <w:t xml:space="preserve">  </w:t>
            </w:r>
          </w:p>
        </w:tc>
        <w:tc>
          <w:tcPr>
            <w:tcW w:w="129" w:type="pct"/>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36346B">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7C53D1" w:rsidRDefault="007C53D1" w:rsidP="0036346B">
            <w:pPr>
              <w:pStyle w:val="Default"/>
              <w:rPr>
                <w:rFonts w:ascii="Arial Narrow" w:hAnsi="Arial Narrow" w:cs="Arial"/>
                <w:color w:val="auto"/>
                <w:sz w:val="22"/>
                <w:szCs w:val="22"/>
              </w:rPr>
            </w:pPr>
            <w:r w:rsidRPr="009860CD">
              <w:rPr>
                <w:rFonts w:ascii="Arial Narrow" w:hAnsi="Arial Narrow" w:cs="Arial"/>
                <w:sz w:val="22"/>
                <w:szCs w:val="22"/>
              </w:rPr>
              <w:lastRenderedPageBreak/>
              <w:t>a</w:t>
            </w:r>
            <w:r w:rsidRPr="001B78AF">
              <w:rPr>
                <w:rFonts w:ascii="Arial Narrow" w:hAnsi="Arial Narrow" w:cs="Arial"/>
                <w:color w:val="auto"/>
                <w:sz w:val="22"/>
                <w:szCs w:val="22"/>
              </w:rPr>
              <w:t>.</w:t>
            </w:r>
            <w:r w:rsidR="00BD327F" w:rsidRPr="001B78AF">
              <w:rPr>
                <w:rFonts w:ascii="Arial Narrow" w:hAnsi="Arial Narrow" w:cs="Arial"/>
                <w:color w:val="auto"/>
                <w:sz w:val="22"/>
                <w:szCs w:val="22"/>
              </w:rPr>
              <w:t xml:space="preserve"> FY13: Begin tracking all proposal submissions utilizing new organization and support infrastructure</w:t>
            </w:r>
          </w:p>
          <w:p w:rsidR="00930200" w:rsidRDefault="00930200" w:rsidP="0036346B">
            <w:pPr>
              <w:pStyle w:val="Default"/>
              <w:rPr>
                <w:rFonts w:ascii="Arial Narrow" w:hAnsi="Arial Narrow" w:cs="Arial"/>
                <w:color w:val="auto"/>
                <w:sz w:val="22"/>
                <w:szCs w:val="22"/>
              </w:rPr>
            </w:pPr>
          </w:p>
          <w:p w:rsidR="00930200" w:rsidRDefault="00930200" w:rsidP="00930200">
            <w:pPr>
              <w:pStyle w:val="ListParagraph"/>
              <w:ind w:left="0"/>
              <w:rPr>
                <w:rFonts w:ascii="Arial Narrow" w:hAnsi="Arial Narrow" w:cs="Arial"/>
              </w:rPr>
            </w:pPr>
            <w:r>
              <w:rPr>
                <w:rFonts w:ascii="Arial Narrow" w:hAnsi="Arial Narrow" w:cs="Arial"/>
              </w:rPr>
              <w:t xml:space="preserve">Develop more efficient organization and proposal tracking structures: Working closely with the Controller’s Office, this office will develop a new system for initiating proposals and tracking them throughout the pre- and post-award process. A proposal tracking spreadsheet will provide a proposal ID number and generate key information (researcher, proposal title, funding agency, amount, project start/end dates, etc.) to be used in quarterly reports provided to the Board of Trustees. A new system within the Banner database will be used to track proposals that will allow all grant administration representatives (Grants &amp; Research and Controller’s Office) to work on proposal management. This will increase efficiency in tracking proposals and support greater fluid communication between all members of the grant management team. It will also localize all statistics (proposals submitted, awarded, </w:t>
            </w:r>
            <w:proofErr w:type="gramStart"/>
            <w:r>
              <w:rPr>
                <w:rFonts w:ascii="Arial Narrow" w:hAnsi="Arial Narrow" w:cs="Arial"/>
              </w:rPr>
              <w:t>declined,</w:t>
            </w:r>
            <w:proofErr w:type="gramEnd"/>
            <w:r>
              <w:rPr>
                <w:rFonts w:ascii="Arial Narrow" w:hAnsi="Arial Narrow" w:cs="Arial"/>
              </w:rPr>
              <w:t xml:space="preserve"> incomplete, funding agencies, amounts, etc.) for easier reporting and tracking. </w:t>
            </w:r>
          </w:p>
          <w:p w:rsidR="00DB669F" w:rsidRDefault="00DB669F" w:rsidP="00DB669F"/>
          <w:p w:rsidR="007C53D1" w:rsidRPr="009860CD" w:rsidRDefault="007C53D1" w:rsidP="0036346B">
            <w:pPr>
              <w:pStyle w:val="Default"/>
              <w:rPr>
                <w:rFonts w:ascii="Arial Narrow" w:hAnsi="Arial Narrow" w:cs="Arial"/>
                <w:sz w:val="22"/>
                <w:szCs w:val="22"/>
              </w:rPr>
            </w:pPr>
            <w:proofErr w:type="gramStart"/>
            <w:r w:rsidRPr="001B78AF">
              <w:rPr>
                <w:rFonts w:ascii="Arial Narrow" w:hAnsi="Arial Narrow" w:cs="Arial"/>
                <w:color w:val="auto"/>
                <w:sz w:val="22"/>
                <w:szCs w:val="22"/>
              </w:rPr>
              <w:t>b.</w:t>
            </w:r>
            <w:r w:rsidR="00BD327F" w:rsidRPr="001B78AF">
              <w:rPr>
                <w:rFonts w:ascii="Arial Narrow" w:hAnsi="Arial Narrow" w:cs="Arial"/>
                <w:color w:val="auto"/>
                <w:sz w:val="22"/>
                <w:szCs w:val="22"/>
              </w:rPr>
              <w:t>FY</w:t>
            </w:r>
            <w:r w:rsidR="00D6616B" w:rsidRPr="001B78AF">
              <w:rPr>
                <w:rFonts w:ascii="Arial Narrow" w:hAnsi="Arial Narrow" w:cs="Arial"/>
                <w:color w:val="auto"/>
                <w:sz w:val="22"/>
                <w:szCs w:val="22"/>
              </w:rPr>
              <w:t>13-</w:t>
            </w:r>
            <w:r w:rsidR="00BD327F" w:rsidRPr="001B78AF">
              <w:rPr>
                <w:rFonts w:ascii="Arial Narrow" w:hAnsi="Arial Narrow" w:cs="Arial"/>
                <w:color w:val="auto"/>
                <w:sz w:val="22"/>
                <w:szCs w:val="22"/>
              </w:rPr>
              <w:t>14</w:t>
            </w:r>
            <w:proofErr w:type="gramEnd"/>
            <w:r w:rsidR="00BD327F" w:rsidRPr="001B78AF">
              <w:rPr>
                <w:rFonts w:ascii="Arial Narrow" w:hAnsi="Arial Narrow" w:cs="Arial"/>
                <w:i/>
                <w:color w:val="auto"/>
                <w:sz w:val="22"/>
                <w:szCs w:val="22"/>
              </w:rPr>
              <w:t>:</w:t>
            </w:r>
            <w:r w:rsidR="00BD327F" w:rsidRPr="001B78AF">
              <w:rPr>
                <w:rFonts w:ascii="Arial Narrow" w:hAnsi="Arial Narrow" w:cs="Arial"/>
                <w:color w:val="auto"/>
                <w:sz w:val="22"/>
                <w:szCs w:val="22"/>
              </w:rPr>
              <w:t xml:space="preserve"> Look at rejected proposals</w:t>
            </w:r>
            <w:r w:rsidR="001B78AF" w:rsidRPr="001B78AF">
              <w:rPr>
                <w:rFonts w:ascii="Arial Narrow" w:hAnsi="Arial Narrow" w:cs="Arial"/>
                <w:color w:val="auto"/>
                <w:sz w:val="22"/>
                <w:szCs w:val="22"/>
              </w:rPr>
              <w:t xml:space="preserve"> throughout the year to help guide proposal preparation efforts for all future proposals,</w:t>
            </w:r>
            <w:r w:rsidR="00BD327F" w:rsidRPr="001B78AF">
              <w:rPr>
                <w:rFonts w:ascii="Arial Narrow" w:hAnsi="Arial Narrow" w:cs="Arial"/>
                <w:color w:val="auto"/>
                <w:sz w:val="22"/>
                <w:szCs w:val="22"/>
              </w:rPr>
              <w:t xml:space="preserve"> and determine which had the most positive feedback from reviewers. During </w:t>
            </w:r>
            <w:r w:rsidR="00BD327F">
              <w:rPr>
                <w:rFonts w:ascii="Arial Narrow" w:hAnsi="Arial Narrow" w:cs="Arial"/>
                <w:sz w:val="22"/>
                <w:szCs w:val="22"/>
              </w:rPr>
              <w:t>this year it is unlikely that growth in proposal submission would be so great that any perspective proposals would be deemed “low priority” or left unaddressed/supported. This year will simply be a time of reflection to see what types of proposals are receiving strong reviews and what direction our funding success is taking, if any.</w:t>
            </w:r>
          </w:p>
          <w:p w:rsidR="00BD327F" w:rsidRDefault="007C53D1" w:rsidP="0036346B">
            <w:pPr>
              <w:pStyle w:val="Default"/>
              <w:rPr>
                <w:rFonts w:ascii="Arial Narrow" w:hAnsi="Arial Narrow" w:cs="Arial"/>
                <w:sz w:val="22"/>
                <w:szCs w:val="22"/>
              </w:rPr>
            </w:pPr>
            <w:r w:rsidRPr="009860CD">
              <w:rPr>
                <w:rFonts w:ascii="Arial Narrow" w:hAnsi="Arial Narrow" w:cs="Arial"/>
                <w:sz w:val="22"/>
                <w:szCs w:val="22"/>
              </w:rPr>
              <w:t xml:space="preserve">c. </w:t>
            </w:r>
            <w:r w:rsidR="00BD327F">
              <w:rPr>
                <w:rFonts w:ascii="Arial Narrow" w:hAnsi="Arial Narrow" w:cs="Arial"/>
                <w:sz w:val="22"/>
                <w:szCs w:val="22"/>
              </w:rPr>
              <w:t xml:space="preserve">FY15: At this point it is more likely that proposal load could reach, or approach, a capacity that overwhelms the staffing in the office. If increased staffing is not an option, the prioritization system will be used to focus efforts on the most successful proposals. </w:t>
            </w:r>
            <w:r w:rsidR="00D14D27">
              <w:rPr>
                <w:rFonts w:ascii="Arial Narrow" w:hAnsi="Arial Narrow" w:cs="Arial"/>
                <w:sz w:val="22"/>
                <w:szCs w:val="22"/>
              </w:rPr>
              <w:t xml:space="preserve"> [</w:t>
            </w:r>
            <w:proofErr w:type="gramStart"/>
            <w:r w:rsidR="00D14D27">
              <w:rPr>
                <w:rFonts w:ascii="Arial Narrow" w:hAnsi="Arial Narrow" w:cs="Arial"/>
                <w:sz w:val="22"/>
                <w:szCs w:val="22"/>
              </w:rPr>
              <w:t>a</w:t>
            </w:r>
            <w:proofErr w:type="gramEnd"/>
            <w:r w:rsidR="00D14D27">
              <w:rPr>
                <w:rFonts w:ascii="Arial Narrow" w:hAnsi="Arial Narrow" w:cs="Arial"/>
                <w:sz w:val="22"/>
                <w:szCs w:val="22"/>
              </w:rPr>
              <w:t xml:space="preserve"> core step is missing: when/where is the prioritization plan created? Who would be involved in its development? Who would be the decision-makers?  ]</w:t>
            </w:r>
          </w:p>
          <w:p w:rsidR="007C53D1" w:rsidRPr="009860CD" w:rsidRDefault="00BD327F" w:rsidP="0036346B">
            <w:pPr>
              <w:pStyle w:val="Default"/>
              <w:rPr>
                <w:rFonts w:ascii="Arial Narrow" w:hAnsi="Arial Narrow" w:cs="Arial"/>
                <w:sz w:val="22"/>
                <w:szCs w:val="22"/>
              </w:rPr>
            </w:pPr>
            <w:r>
              <w:rPr>
                <w:rFonts w:ascii="Arial Narrow" w:hAnsi="Arial Narrow" w:cs="Arial"/>
                <w:sz w:val="22"/>
                <w:szCs w:val="22"/>
              </w:rPr>
              <w:t>d. FY16</w:t>
            </w:r>
            <w:proofErr w:type="gramStart"/>
            <w:r w:rsidR="001B78AF">
              <w:rPr>
                <w:rFonts w:ascii="Arial Narrow" w:hAnsi="Arial Narrow" w:cs="Arial"/>
                <w:strike/>
                <w:sz w:val="22"/>
                <w:szCs w:val="22"/>
              </w:rPr>
              <w:t>:</w:t>
            </w:r>
            <w:r>
              <w:rPr>
                <w:rFonts w:ascii="Arial Narrow" w:hAnsi="Arial Narrow" w:cs="Arial"/>
                <w:sz w:val="22"/>
                <w:szCs w:val="22"/>
              </w:rPr>
              <w:t>Time</w:t>
            </w:r>
            <w:proofErr w:type="gramEnd"/>
            <w:r>
              <w:rPr>
                <w:rFonts w:ascii="Arial Narrow" w:hAnsi="Arial Narrow" w:cs="Arial"/>
                <w:sz w:val="22"/>
                <w:szCs w:val="22"/>
              </w:rPr>
              <w:t xml:space="preserve"> will tell what the levels of staffing and prioritization will be, but this overall plan will guide the office in preparation for continued growth. </w:t>
            </w:r>
            <w:r w:rsidR="007C53D1" w:rsidRPr="009860CD">
              <w:rPr>
                <w:rFonts w:ascii="Arial Narrow" w:hAnsi="Arial Narrow" w:cs="Arial"/>
                <w:sz w:val="22"/>
                <w:szCs w:val="22"/>
              </w:rPr>
              <w:br/>
              <w:t>etc.</w:t>
            </w:r>
          </w:p>
          <w:p w:rsidR="007C53D1" w:rsidRPr="00B33479" w:rsidRDefault="007C53D1" w:rsidP="0036346B">
            <w:pPr>
              <w:pStyle w:val="Default"/>
              <w:rPr>
                <w:rFonts w:ascii="Arial Narrow" w:hAnsi="Arial Narrow" w:cs="Arial"/>
                <w:sz w:val="22"/>
                <w:szCs w:val="22"/>
              </w:rPr>
            </w:pPr>
          </w:p>
          <w:p w:rsidR="00B33479" w:rsidRPr="00B33479" w:rsidRDefault="00B33479" w:rsidP="00B33479">
            <w:pPr>
              <w:pStyle w:val="Default"/>
              <w:rPr>
                <w:rFonts w:ascii="Arial Narrow" w:hAnsi="Arial Narrow" w:cs="Arial"/>
                <w:i/>
                <w:sz w:val="22"/>
                <w:szCs w:val="22"/>
              </w:rPr>
            </w:pPr>
          </w:p>
          <w:p w:rsidR="00BD327F" w:rsidRDefault="007C53D1" w:rsidP="00B33479">
            <w:pPr>
              <w:pStyle w:val="Default"/>
              <w:rPr>
                <w:rFonts w:ascii="Arial Narrow" w:hAnsi="Arial Narrow" w:cs="Arial"/>
                <w:sz w:val="20"/>
                <w:szCs w:val="20"/>
              </w:rPr>
            </w:pPr>
            <w:r w:rsidRPr="00C63E27">
              <w:rPr>
                <w:rFonts w:ascii="Arial Narrow" w:hAnsi="Arial Narrow" w:cs="Arial"/>
                <w:i/>
                <w:sz w:val="20"/>
                <w:szCs w:val="20"/>
              </w:rPr>
              <w:t xml:space="preserve">Beyond completing the </w:t>
            </w:r>
            <w:r w:rsidR="00055B6F" w:rsidRPr="00C63E27">
              <w:rPr>
                <w:rFonts w:ascii="Arial Narrow" w:hAnsi="Arial Narrow" w:cs="Arial"/>
                <w:i/>
                <w:sz w:val="20"/>
                <w:szCs w:val="20"/>
              </w:rPr>
              <w:t xml:space="preserve">above </w:t>
            </w:r>
            <w:r w:rsidRPr="00C63E27">
              <w:rPr>
                <w:rFonts w:ascii="Arial Narrow" w:hAnsi="Arial Narrow" w:cs="Arial"/>
                <w:i/>
                <w:sz w:val="20"/>
                <w:szCs w:val="20"/>
              </w:rPr>
              <w:t xml:space="preserve">steps, how will you </w:t>
            </w:r>
            <w:r w:rsidR="009B18C4" w:rsidRPr="00C63E27">
              <w:rPr>
                <w:rFonts w:ascii="Arial Narrow" w:hAnsi="Arial Narrow" w:cs="Arial"/>
                <w:i/>
                <w:sz w:val="20"/>
                <w:szCs w:val="20"/>
              </w:rPr>
              <w:t xml:space="preserve">judge whether </w:t>
            </w:r>
            <w:r w:rsidRPr="00C63E27">
              <w:rPr>
                <w:rFonts w:ascii="Arial Narrow" w:hAnsi="Arial Narrow" w:cs="Arial"/>
                <w:i/>
                <w:sz w:val="20"/>
                <w:szCs w:val="20"/>
              </w:rPr>
              <w:t>the objective was a success</w:t>
            </w:r>
            <w:r w:rsidR="009B18C4" w:rsidRPr="00C63E27">
              <w:rPr>
                <w:rFonts w:ascii="Arial Narrow" w:hAnsi="Arial Narrow" w:cs="Arial"/>
                <w:i/>
                <w:sz w:val="20"/>
                <w:szCs w:val="20"/>
              </w:rPr>
              <w:t>?</w:t>
            </w:r>
            <w:r w:rsidR="00824F9B" w:rsidRPr="00C63E27">
              <w:rPr>
                <w:rFonts w:ascii="Arial Narrow" w:hAnsi="Arial Narrow" w:cs="Arial"/>
                <w:i/>
                <w:sz w:val="20"/>
                <w:szCs w:val="20"/>
              </w:rPr>
              <w:t xml:space="preserve"> </w:t>
            </w:r>
            <w:r w:rsidR="009B18C4" w:rsidRPr="00C63E27">
              <w:rPr>
                <w:rFonts w:ascii="Arial Narrow" w:hAnsi="Arial Narrow" w:cs="Arial"/>
                <w:i/>
                <w:sz w:val="20"/>
                <w:szCs w:val="20"/>
              </w:rPr>
              <w:t>Ex</w:t>
            </w:r>
            <w:r w:rsidR="00122E20" w:rsidRPr="00C63E27">
              <w:rPr>
                <w:rFonts w:ascii="Arial Narrow" w:hAnsi="Arial Narrow" w:cs="Arial"/>
                <w:i/>
                <w:sz w:val="20"/>
                <w:szCs w:val="20"/>
              </w:rPr>
              <w:t>amples:</w:t>
            </w:r>
            <w:r w:rsidR="00C63E27">
              <w:rPr>
                <w:rFonts w:ascii="Arial Narrow" w:hAnsi="Arial Narrow" w:cs="Arial"/>
                <w:i/>
                <w:sz w:val="20"/>
                <w:szCs w:val="20"/>
              </w:rPr>
              <w:t xml:space="preserve"> If t</w:t>
            </w:r>
            <w:r w:rsidR="009B18C4" w:rsidRPr="00C63E27">
              <w:rPr>
                <w:rFonts w:ascii="Arial Narrow" w:hAnsi="Arial Narrow" w:cs="Arial"/>
                <w:i/>
                <w:sz w:val="20"/>
                <w:szCs w:val="20"/>
              </w:rPr>
              <w:t xml:space="preserve">he rationale was Efficiency/cost, </w:t>
            </w:r>
            <w:r w:rsidRPr="00C63E27">
              <w:rPr>
                <w:rFonts w:ascii="Arial Narrow" w:hAnsi="Arial Narrow" w:cs="Arial"/>
                <w:i/>
                <w:sz w:val="20"/>
                <w:szCs w:val="20"/>
              </w:rPr>
              <w:t xml:space="preserve">what </w:t>
            </w:r>
            <w:proofErr w:type="gramStart"/>
            <w:r w:rsidRPr="00C63E27">
              <w:rPr>
                <w:rFonts w:ascii="Arial Narrow" w:hAnsi="Arial Narrow" w:cs="Arial"/>
                <w:i/>
                <w:sz w:val="20"/>
                <w:szCs w:val="20"/>
              </w:rPr>
              <w:t>is the desired and/or minimum target criteria</w:t>
            </w:r>
            <w:proofErr w:type="gramEnd"/>
            <w:r w:rsidRPr="00C63E27">
              <w:rPr>
                <w:rFonts w:ascii="Arial Narrow" w:hAnsi="Arial Narrow" w:cs="Arial"/>
                <w:i/>
                <w:sz w:val="20"/>
                <w:szCs w:val="20"/>
              </w:rPr>
              <w:t xml:space="preserve"> </w:t>
            </w:r>
            <w:r w:rsidR="00122E20" w:rsidRPr="00C63E27">
              <w:rPr>
                <w:rFonts w:ascii="Arial Narrow" w:hAnsi="Arial Narrow" w:cs="Arial"/>
                <w:i/>
                <w:sz w:val="20"/>
                <w:szCs w:val="20"/>
              </w:rPr>
              <w:t xml:space="preserve">for savings in time or cost? If the rationale was Satisfaction, what </w:t>
            </w:r>
            <w:proofErr w:type="gramStart"/>
            <w:r w:rsidR="00122E20" w:rsidRPr="00C63E27">
              <w:rPr>
                <w:rFonts w:ascii="Arial Narrow" w:hAnsi="Arial Narrow" w:cs="Arial"/>
                <w:i/>
                <w:sz w:val="20"/>
                <w:szCs w:val="20"/>
              </w:rPr>
              <w:t>is</w:t>
            </w:r>
            <w:proofErr w:type="gramEnd"/>
            <w:r w:rsidR="00122E20" w:rsidRPr="00C63E27">
              <w:rPr>
                <w:rFonts w:ascii="Arial Narrow" w:hAnsi="Arial Narrow" w:cs="Arial"/>
                <w:i/>
                <w:sz w:val="20"/>
                <w:szCs w:val="20"/>
              </w:rPr>
              <w:t xml:space="preserve"> the measure and what increase is desired</w:t>
            </w:r>
            <w:r w:rsidR="00122E20" w:rsidRPr="00C63E27">
              <w:rPr>
                <w:rFonts w:ascii="Arial Narrow" w:hAnsi="Arial Narrow" w:cs="Arial"/>
                <w:sz w:val="20"/>
                <w:szCs w:val="20"/>
              </w:rPr>
              <w:t>?</w:t>
            </w:r>
          </w:p>
          <w:p w:rsidR="00BD327F" w:rsidRPr="00BD327F" w:rsidRDefault="00BD327F" w:rsidP="00B33479">
            <w:pPr>
              <w:pStyle w:val="Default"/>
              <w:rPr>
                <w:rFonts w:ascii="Arial Narrow" w:hAnsi="Arial Narrow" w:cs="Arial"/>
                <w:sz w:val="20"/>
                <w:szCs w:val="20"/>
              </w:rPr>
            </w:pPr>
            <w:r>
              <w:rPr>
                <w:rFonts w:ascii="Arial Narrow" w:hAnsi="Arial Narrow" w:cs="Arial"/>
                <w:sz w:val="20"/>
                <w:szCs w:val="20"/>
              </w:rPr>
              <w:t>At this point the number of proposal submissions is the focus. Once we get to that stage where money starts to come in and we can get an idea of what proposals are working, we can start to focus on dollar amounts, i.e. how much money total do we expect or want to see coming into the university from external sponsors in FY-x, FY-y, FY-z etc.</w:t>
            </w: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8D37E8">
            <w:pPr>
              <w:spacing w:before="240"/>
              <w:rPr>
                <w:rFonts w:ascii="Arial Narrow" w:hAnsi="Arial Narrow" w:cs="Arial"/>
                <w:b/>
              </w:rPr>
            </w:pPr>
            <w:r>
              <w:rPr>
                <w:rFonts w:ascii="Arial Narrow" w:hAnsi="Arial Narrow" w:cs="Arial"/>
                <w:b/>
                <w:sz w:val="22"/>
                <w:szCs w:val="22"/>
              </w:rPr>
              <w:lastRenderedPageBreak/>
              <w:t>Assessment Report</w:t>
            </w:r>
          </w:p>
        </w:tc>
        <w:tc>
          <w:tcPr>
            <w:tcW w:w="129" w:type="pct"/>
            <w:tcBorders>
              <w:top w:val="nil"/>
              <w:left w:val="nil"/>
              <w:bottom w:val="nil"/>
              <w:right w:val="nil"/>
            </w:tcBorders>
          </w:tcPr>
          <w:p w:rsidR="00A07684" w:rsidRPr="009860CD" w:rsidRDefault="00A07684" w:rsidP="008D37E8">
            <w:pPr>
              <w:rPr>
                <w:rFonts w:ascii="Arial Narrow" w:hAnsi="Arial Narrow" w:cs="Arial"/>
              </w:rPr>
            </w:pPr>
          </w:p>
        </w:tc>
        <w:tc>
          <w:tcPr>
            <w:tcW w:w="2427" w:type="pct"/>
            <w:tcBorders>
              <w:top w:val="nil"/>
              <w:left w:val="nil"/>
              <w:bottom w:val="nil"/>
              <w:right w:val="nil"/>
            </w:tcBorders>
          </w:tcPr>
          <w:p w:rsidR="00A07684" w:rsidRDefault="00A07684" w:rsidP="008D37E8">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8D37E8">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#2</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8D37E8">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8D37E8">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8D37E8">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8D37E8">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8D37E8">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r w:rsidR="00A07684" w:rsidRPr="009860CD" w:rsidTr="002C4E27">
        <w:trPr>
          <w:gridAfter w:val="1"/>
          <w:wAfter w:w="20" w:type="pct"/>
        </w:trPr>
        <w:tc>
          <w:tcPr>
            <w:tcW w:w="2424" w:type="pct"/>
            <w:tcBorders>
              <w:top w:val="nil"/>
              <w:left w:val="nil"/>
              <w:bottom w:val="single" w:sz="4" w:space="0" w:color="auto"/>
              <w:right w:val="nil"/>
            </w:tcBorders>
          </w:tcPr>
          <w:p w:rsidR="00A07684" w:rsidRPr="009860CD" w:rsidRDefault="00A07684" w:rsidP="008D37E8">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8D37E8">
            <w:pPr>
              <w:spacing w:before="240"/>
              <w:rPr>
                <w:rFonts w:ascii="Arial Narrow" w:hAnsi="Arial Narrow" w:cs="Arial"/>
              </w:rPr>
            </w:pPr>
          </w:p>
        </w:tc>
        <w:tc>
          <w:tcPr>
            <w:tcW w:w="2427" w:type="pct"/>
            <w:tcBorders>
              <w:top w:val="nil"/>
              <w:left w:val="nil"/>
              <w:bottom w:val="single" w:sz="4" w:space="0" w:color="auto"/>
              <w:right w:val="nil"/>
            </w:tcBorders>
          </w:tcPr>
          <w:p w:rsidR="00A07684" w:rsidRDefault="00A07684" w:rsidP="008D37E8">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2C4E27" w:rsidP="008D37E8">
            <w:pPr>
              <w:rPr>
                <w:rFonts w:ascii="Arial Narrow" w:hAnsi="Arial Narrow" w:cs="Arial"/>
                <w:b/>
              </w:rPr>
            </w:pPr>
            <w:r>
              <w:rPr>
                <w:rFonts w:ascii="Arial Narrow" w:hAnsi="Arial Narrow" w:cs="Arial"/>
                <w:b/>
                <w:sz w:val="22"/>
                <w:szCs w:val="22"/>
              </w:rPr>
              <w:t>Administrative Objective #3</w:t>
            </w:r>
            <w:r w:rsidR="00A07684" w:rsidRPr="009860CD">
              <w:rPr>
                <w:rFonts w:ascii="Arial Narrow" w:hAnsi="Arial Narrow" w:cs="Arial"/>
                <w:b/>
                <w:sz w:val="22"/>
                <w:szCs w:val="22"/>
              </w:rPr>
              <w:t xml:space="preserve"> </w:t>
            </w:r>
            <w:r w:rsidR="00A07684" w:rsidRPr="009860CD">
              <w:rPr>
                <w:rFonts w:ascii="Arial Narrow" w:hAnsi="Arial Narrow" w:cs="Arial"/>
                <w:i/>
                <w:sz w:val="22"/>
                <w:szCs w:val="22"/>
              </w:rPr>
              <w:t>(</w:t>
            </w:r>
            <w:r w:rsidR="00A07684" w:rsidRPr="00431236">
              <w:rPr>
                <w:rFonts w:ascii="Arial Narrow" w:hAnsi="Arial Narrow" w:cs="Arial"/>
                <w:i/>
                <w:sz w:val="20"/>
                <w:szCs w:val="22"/>
              </w:rPr>
              <w:t>State a 1-2 year objective intended to improve a unit process, service, or output</w:t>
            </w:r>
            <w:r w:rsidR="00A07684"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8D37E8">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8D37E8">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551747" w:rsidRPr="005959BB" w:rsidRDefault="007C53D1" w:rsidP="00551747">
            <w:pPr>
              <w:jc w:val="center"/>
            </w:pPr>
            <w:r w:rsidRPr="00431236">
              <w:rPr>
                <w:rFonts w:ascii="Arial Narrow" w:hAnsi="Arial Narrow"/>
                <w:i/>
                <w:sz w:val="20"/>
                <w:szCs w:val="22"/>
              </w:rPr>
              <w:t>Objective</w:t>
            </w:r>
            <w:r w:rsidRPr="009860CD">
              <w:rPr>
                <w:rFonts w:ascii="Arial Narrow" w:hAnsi="Arial Narrow"/>
                <w:sz w:val="22"/>
                <w:szCs w:val="22"/>
              </w:rPr>
              <w:t>:</w:t>
            </w:r>
            <w:r w:rsidR="00551747">
              <w:t xml:space="preserve"> McNair Scholars Program Annual Assessment Objective</w:t>
            </w:r>
          </w:p>
          <w:p w:rsidR="00551747" w:rsidRDefault="00551747" w:rsidP="00551747">
            <w:r>
              <w:t xml:space="preserve">The McNair Scholars Program seeks to increase research activity by undergraduate students and prepare program participants for graduate program acceptance, persistence, and degree attainment. </w:t>
            </w:r>
          </w:p>
          <w:p w:rsidR="007C53D1" w:rsidRPr="00C63E27" w:rsidRDefault="007C53D1" w:rsidP="00972106">
            <w:pPr>
              <w:rPr>
                <w:rFonts w:ascii="Arial Narrow" w:hAnsi="Arial Narrow"/>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072E0E" w:rsidP="00C63E27">
            <w:pPr>
              <w:rPr>
                <w:rFonts w:ascii="Arial Narrow" w:hAnsi="Arial Narrow"/>
              </w:rPr>
            </w:pPr>
            <w:r>
              <w:rPr>
                <w:rFonts w:ascii="Arial Narrow" w:hAnsi="Arial Narrow"/>
                <w:sz w:val="20"/>
                <w:szCs w:val="22"/>
                <w:u w:val="single"/>
              </w:rPr>
              <w:t>X</w:t>
            </w:r>
            <w:r w:rsidR="00C63E27" w:rsidRPr="00431236">
              <w:rPr>
                <w:rFonts w:ascii="Arial Narrow" w:hAnsi="Arial Narrow"/>
                <w:sz w:val="20"/>
                <w:szCs w:val="22"/>
              </w:rPr>
              <w:t xml:space="preserve"> Effectiveness/quality action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00072E0E">
              <w:rPr>
                <w:rFonts w:ascii="Arial Narrow" w:hAnsi="Arial Narrow"/>
                <w:sz w:val="20"/>
                <w:szCs w:val="22"/>
              </w:rPr>
              <w:t>X</w:t>
            </w:r>
            <w:r w:rsidRPr="00431236">
              <w:rPr>
                <w:rFonts w:ascii="Arial Narrow" w:hAnsi="Arial Narrow"/>
                <w:sz w:val="20"/>
                <w:szCs w:val="22"/>
              </w:rPr>
              <w:t xml:space="preserve"> </w:t>
            </w:r>
            <w:r w:rsidRPr="00072E0E">
              <w:rPr>
                <w:rFonts w:ascii="Arial Narrow" w:hAnsi="Arial Narrow"/>
                <w:sz w:val="20"/>
                <w:szCs w:val="22"/>
              </w:rPr>
              <w:t>Create baseline</w:t>
            </w:r>
            <w:r w:rsidRPr="00431236">
              <w:rPr>
                <w:rFonts w:ascii="Arial Narrow" w:hAnsi="Arial Narrow"/>
                <w:sz w:val="20"/>
                <w:szCs w:val="22"/>
              </w:rPr>
              <w:t xml:space="preserv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 xml:space="preserve">Which AQIP category does this address? </w:t>
            </w:r>
          </w:p>
          <w:p w:rsidR="007C53D1"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DB669F" w:rsidRPr="00DB669F" w:rsidRDefault="00551747" w:rsidP="00DB669F">
            <w:pPr>
              <w:rPr>
                <w:color w:val="FF0000"/>
              </w:rPr>
            </w:pPr>
            <w:r w:rsidRPr="005959BB">
              <w:rPr>
                <w:i/>
              </w:rPr>
              <w:t>Means of Assessment for Objective</w:t>
            </w:r>
            <w:r w:rsidRPr="005959BB">
              <w:rPr>
                <w:i/>
              </w:rPr>
              <w:br/>
            </w:r>
            <w:r w:rsidR="00DB669F" w:rsidRPr="00DB669F">
              <w:t xml:space="preserve">The program will use direct and indirect measures to evaluate effectiveness in affecting positive growth in the areas of preparedness for graduate study, GPA &amp; GRE scores, research capability, and academic resilience. McNair program staff will use these measures to gauge performance on grant objectives and to make adjustments to services accordingly. </w:t>
            </w:r>
            <w:r w:rsidR="00072E0E">
              <w:rPr>
                <w:color w:val="FF0000"/>
              </w:rPr>
              <w:t xml:space="preserve">As a grant </w:t>
            </w:r>
            <w:r w:rsidR="002F6DDB">
              <w:rPr>
                <w:color w:val="FF0000"/>
              </w:rPr>
              <w:t xml:space="preserve">funded </w:t>
            </w:r>
            <w:r w:rsidR="00072E0E">
              <w:rPr>
                <w:color w:val="FF0000"/>
              </w:rPr>
              <w:t xml:space="preserve">program under the Graduate Education and Research Department, the program will use direct and indirect measures to evaluate effectiveness in affecting positive growth in the areas of preparedness for graduate study, GPA, GRE scores and research capability. McNair program staff will use these measures to gauge performance on grant objectives and to make adjustments to services accordingly. </w:t>
            </w:r>
          </w:p>
          <w:p w:rsidR="00DB669F" w:rsidRDefault="00DB669F" w:rsidP="00551747"/>
          <w:p w:rsidR="00DB669F" w:rsidRDefault="00DB669F" w:rsidP="00551747"/>
          <w:p w:rsidR="00DB669F" w:rsidRPr="00143861" w:rsidRDefault="00551747" w:rsidP="00143861">
            <w:r>
              <w:t>1a. Council for the Advancement of Standards</w:t>
            </w:r>
            <w:r w:rsidR="00143861">
              <w:t xml:space="preserve"> (CAS)</w:t>
            </w:r>
            <w:r>
              <w:t xml:space="preserve"> in Higher Education – Self Assessment for TRIO programs</w:t>
            </w:r>
            <w:r w:rsidR="00143861">
              <w:t xml:space="preserve">: </w:t>
            </w:r>
            <w:r w:rsidR="00143861">
              <w:rPr>
                <w:rFonts w:ascii="Arial Narrow" w:hAnsi="Arial Narrow"/>
                <w:color w:val="FF0000"/>
                <w:sz w:val="22"/>
                <w:szCs w:val="22"/>
              </w:rPr>
              <w:t>Using the CAS instrument, program services are assessed by program staff, and provided to the Graduate Education and Research office on a 3 year rotating basis. Self-assessment areas are:</w:t>
            </w:r>
          </w:p>
          <w:p w:rsidR="00143861" w:rsidRDefault="00143861" w:rsidP="00DB669F">
            <w:pPr>
              <w:pStyle w:val="Default"/>
              <w:rPr>
                <w:rFonts w:ascii="Arial Narrow" w:hAnsi="Arial Narrow"/>
                <w:color w:val="FF0000"/>
                <w:sz w:val="22"/>
                <w:szCs w:val="22"/>
              </w:rPr>
            </w:pPr>
            <w:r>
              <w:rPr>
                <w:rFonts w:ascii="Arial Narrow" w:hAnsi="Arial Narrow"/>
                <w:color w:val="FF0000"/>
                <w:sz w:val="22"/>
                <w:szCs w:val="22"/>
              </w:rPr>
              <w:t>Mission</w:t>
            </w:r>
          </w:p>
          <w:p w:rsidR="00143861" w:rsidRDefault="00143861" w:rsidP="00DB669F">
            <w:pPr>
              <w:pStyle w:val="Default"/>
              <w:rPr>
                <w:rFonts w:ascii="Arial Narrow" w:hAnsi="Arial Narrow"/>
                <w:color w:val="FF0000"/>
                <w:sz w:val="22"/>
                <w:szCs w:val="22"/>
              </w:rPr>
            </w:pPr>
            <w:r>
              <w:rPr>
                <w:rFonts w:ascii="Arial Narrow" w:hAnsi="Arial Narrow"/>
                <w:color w:val="FF0000"/>
                <w:sz w:val="22"/>
                <w:szCs w:val="22"/>
              </w:rPr>
              <w:t>Program</w:t>
            </w:r>
          </w:p>
          <w:p w:rsidR="00143861" w:rsidRDefault="00143861" w:rsidP="00DB669F">
            <w:pPr>
              <w:pStyle w:val="Default"/>
              <w:rPr>
                <w:rFonts w:ascii="Arial Narrow" w:hAnsi="Arial Narrow"/>
                <w:color w:val="FF0000"/>
                <w:sz w:val="22"/>
                <w:szCs w:val="22"/>
              </w:rPr>
            </w:pPr>
            <w:r>
              <w:rPr>
                <w:rFonts w:ascii="Arial Narrow" w:hAnsi="Arial Narrow"/>
                <w:color w:val="FF0000"/>
                <w:sz w:val="22"/>
                <w:szCs w:val="22"/>
              </w:rPr>
              <w:t>Organization and Leadership</w:t>
            </w:r>
          </w:p>
          <w:p w:rsidR="00143861" w:rsidRDefault="00143861" w:rsidP="00DB669F">
            <w:pPr>
              <w:pStyle w:val="Default"/>
              <w:rPr>
                <w:rFonts w:ascii="Arial Narrow" w:hAnsi="Arial Narrow"/>
                <w:color w:val="FF0000"/>
                <w:sz w:val="22"/>
                <w:szCs w:val="22"/>
              </w:rPr>
            </w:pPr>
            <w:r>
              <w:rPr>
                <w:rFonts w:ascii="Arial Narrow" w:hAnsi="Arial Narrow"/>
                <w:color w:val="FF0000"/>
                <w:sz w:val="22"/>
                <w:szCs w:val="22"/>
              </w:rPr>
              <w:t>Ethics</w:t>
            </w:r>
          </w:p>
          <w:p w:rsidR="00143861" w:rsidRDefault="00143861" w:rsidP="00DB669F">
            <w:pPr>
              <w:pStyle w:val="Default"/>
              <w:rPr>
                <w:rFonts w:ascii="Arial Narrow" w:hAnsi="Arial Narrow"/>
                <w:color w:val="FF0000"/>
                <w:sz w:val="22"/>
                <w:szCs w:val="22"/>
              </w:rPr>
            </w:pPr>
            <w:r>
              <w:rPr>
                <w:rFonts w:ascii="Arial Narrow" w:hAnsi="Arial Narrow"/>
                <w:color w:val="FF0000"/>
                <w:sz w:val="22"/>
                <w:szCs w:val="22"/>
              </w:rPr>
              <w:t>Law, Policy, and Governance</w:t>
            </w:r>
          </w:p>
          <w:p w:rsidR="00143861" w:rsidRDefault="00143861" w:rsidP="00DB669F">
            <w:pPr>
              <w:pStyle w:val="Default"/>
              <w:rPr>
                <w:rFonts w:ascii="Arial Narrow" w:hAnsi="Arial Narrow"/>
                <w:color w:val="FF0000"/>
                <w:sz w:val="22"/>
                <w:szCs w:val="22"/>
              </w:rPr>
            </w:pPr>
            <w:r>
              <w:rPr>
                <w:rFonts w:ascii="Arial Narrow" w:hAnsi="Arial Narrow"/>
                <w:color w:val="FF0000"/>
                <w:sz w:val="22"/>
                <w:szCs w:val="22"/>
              </w:rPr>
              <w:t>Diversity, Equity, and Access</w:t>
            </w:r>
          </w:p>
          <w:p w:rsidR="00143861" w:rsidRDefault="00143861" w:rsidP="00DB669F">
            <w:pPr>
              <w:pStyle w:val="Default"/>
              <w:rPr>
                <w:rFonts w:ascii="Arial Narrow" w:hAnsi="Arial Narrow"/>
                <w:color w:val="FF0000"/>
                <w:sz w:val="22"/>
                <w:szCs w:val="22"/>
              </w:rPr>
            </w:pPr>
            <w:r>
              <w:rPr>
                <w:rFonts w:ascii="Arial Narrow" w:hAnsi="Arial Narrow"/>
                <w:color w:val="FF0000"/>
                <w:sz w:val="22"/>
                <w:szCs w:val="22"/>
              </w:rPr>
              <w:t>Institutional and External Relations</w:t>
            </w:r>
          </w:p>
          <w:p w:rsidR="00143861" w:rsidRDefault="00143861" w:rsidP="00DB669F">
            <w:pPr>
              <w:pStyle w:val="Default"/>
              <w:rPr>
                <w:rFonts w:ascii="Arial Narrow" w:hAnsi="Arial Narrow"/>
                <w:color w:val="FF0000"/>
                <w:sz w:val="22"/>
                <w:szCs w:val="22"/>
              </w:rPr>
            </w:pPr>
            <w:r>
              <w:rPr>
                <w:rFonts w:ascii="Arial Narrow" w:hAnsi="Arial Narrow"/>
                <w:color w:val="FF0000"/>
                <w:sz w:val="22"/>
                <w:szCs w:val="22"/>
              </w:rPr>
              <w:t>Financial Resources</w:t>
            </w:r>
          </w:p>
          <w:p w:rsidR="00143861" w:rsidRDefault="00143861" w:rsidP="00DB669F">
            <w:pPr>
              <w:pStyle w:val="Default"/>
              <w:rPr>
                <w:rFonts w:ascii="Arial Narrow" w:hAnsi="Arial Narrow"/>
                <w:color w:val="FF0000"/>
                <w:sz w:val="22"/>
                <w:szCs w:val="22"/>
              </w:rPr>
            </w:pPr>
            <w:r>
              <w:rPr>
                <w:rFonts w:ascii="Arial Narrow" w:hAnsi="Arial Narrow"/>
                <w:color w:val="FF0000"/>
                <w:sz w:val="22"/>
                <w:szCs w:val="22"/>
              </w:rPr>
              <w:t>Technology</w:t>
            </w:r>
          </w:p>
          <w:p w:rsidR="00143861" w:rsidRDefault="00143861" w:rsidP="00DB669F">
            <w:pPr>
              <w:pStyle w:val="Default"/>
              <w:rPr>
                <w:rFonts w:ascii="Arial Narrow" w:hAnsi="Arial Narrow"/>
                <w:color w:val="FF0000"/>
                <w:sz w:val="22"/>
                <w:szCs w:val="22"/>
              </w:rPr>
            </w:pPr>
            <w:r>
              <w:rPr>
                <w:rFonts w:ascii="Arial Narrow" w:hAnsi="Arial Narrow"/>
                <w:color w:val="FF0000"/>
                <w:sz w:val="22"/>
                <w:szCs w:val="22"/>
              </w:rPr>
              <w:t>Facilities and Equipment</w:t>
            </w:r>
          </w:p>
          <w:p w:rsidR="00143861" w:rsidRPr="00DB669F" w:rsidRDefault="00143861" w:rsidP="00DB669F">
            <w:pPr>
              <w:pStyle w:val="Default"/>
              <w:rPr>
                <w:rFonts w:ascii="Arial Narrow" w:hAnsi="Arial Narrow"/>
                <w:color w:val="FF0000"/>
                <w:sz w:val="22"/>
                <w:szCs w:val="22"/>
              </w:rPr>
            </w:pPr>
            <w:r>
              <w:rPr>
                <w:rFonts w:ascii="Arial Narrow" w:hAnsi="Arial Narrow"/>
                <w:color w:val="FF0000"/>
                <w:sz w:val="22"/>
                <w:szCs w:val="22"/>
              </w:rPr>
              <w:t>Assessment and Evaluation</w:t>
            </w:r>
          </w:p>
          <w:p w:rsidR="00DB669F" w:rsidRDefault="00DB669F" w:rsidP="00551747"/>
          <w:p w:rsidR="00DB669F" w:rsidRPr="00DB669F" w:rsidRDefault="00551747" w:rsidP="00143861">
            <w:pPr>
              <w:rPr>
                <w:rFonts w:ascii="Arial Narrow" w:hAnsi="Arial Narrow"/>
                <w:color w:val="FF0000"/>
                <w:sz w:val="22"/>
                <w:szCs w:val="22"/>
              </w:rPr>
            </w:pPr>
            <w:r>
              <w:t>1b. Evaluation of McNair objectives</w:t>
            </w:r>
            <w:r w:rsidR="00143861">
              <w:t xml:space="preserve">: </w:t>
            </w:r>
            <w:r w:rsidR="00143861">
              <w:rPr>
                <w:rFonts w:ascii="Arial Narrow" w:hAnsi="Arial Narrow"/>
                <w:color w:val="FF0000"/>
                <w:sz w:val="22"/>
                <w:szCs w:val="22"/>
              </w:rPr>
              <w:t xml:space="preserve">Individual and group services are evaluated by students. Survey instruments and </w:t>
            </w:r>
            <w:r w:rsidR="00004CA0">
              <w:rPr>
                <w:rFonts w:ascii="Arial Narrow" w:hAnsi="Arial Narrow"/>
                <w:color w:val="FF0000"/>
                <w:sz w:val="22"/>
                <w:szCs w:val="22"/>
              </w:rPr>
              <w:t>rubrics to evaluate progress in meeting</w:t>
            </w:r>
            <w:r w:rsidR="00143861">
              <w:rPr>
                <w:rFonts w:ascii="Arial Narrow" w:hAnsi="Arial Narrow"/>
                <w:color w:val="FF0000"/>
                <w:sz w:val="22"/>
                <w:szCs w:val="22"/>
              </w:rPr>
              <w:t xml:space="preserve"> the objectives to which</w:t>
            </w:r>
            <w:r w:rsidR="00004CA0">
              <w:rPr>
                <w:rFonts w:ascii="Arial Narrow" w:hAnsi="Arial Narrow"/>
                <w:color w:val="FF0000"/>
                <w:sz w:val="22"/>
                <w:szCs w:val="22"/>
              </w:rPr>
              <w:t xml:space="preserve"> the program</w:t>
            </w:r>
            <w:r w:rsidR="00143861">
              <w:rPr>
                <w:rFonts w:ascii="Arial Narrow" w:hAnsi="Arial Narrow"/>
                <w:color w:val="FF0000"/>
                <w:sz w:val="22"/>
                <w:szCs w:val="22"/>
              </w:rPr>
              <w:t xml:space="preserve"> is held by the Department of Education.</w:t>
            </w:r>
            <w:r w:rsidR="00004CA0">
              <w:rPr>
                <w:rFonts w:ascii="Arial Narrow" w:hAnsi="Arial Narrow"/>
                <w:color w:val="FF0000"/>
                <w:sz w:val="22"/>
                <w:szCs w:val="22"/>
              </w:rPr>
              <w:t xml:space="preserve"> Student self-report data on academic skills are taken at the beginning of their participation and throughout their participation in the program. </w:t>
            </w:r>
            <w:r w:rsidR="00DC1184">
              <w:rPr>
                <w:rFonts w:ascii="Arial Narrow" w:hAnsi="Arial Narrow"/>
                <w:color w:val="FF0000"/>
                <w:sz w:val="22"/>
                <w:szCs w:val="22"/>
              </w:rPr>
              <w:t xml:space="preserve"> </w:t>
            </w:r>
          </w:p>
          <w:p w:rsidR="00DB669F" w:rsidRDefault="00DB669F" w:rsidP="00551747"/>
          <w:p w:rsidR="00551747" w:rsidRDefault="00551747" w:rsidP="00551747">
            <w:r>
              <w:t>1c. Comparative analysis of performance on targeted outcomes by McNair participants versus a control group. Measures include:</w:t>
            </w:r>
          </w:p>
          <w:p w:rsidR="00551747" w:rsidRDefault="00551747" w:rsidP="00551747">
            <w:r>
              <w:tab/>
              <w:t>GPA</w:t>
            </w:r>
            <w:r>
              <w:br/>
            </w:r>
            <w:r>
              <w:tab/>
              <w:t>Credit Completion</w:t>
            </w:r>
            <w:r>
              <w:br/>
            </w:r>
            <w:r>
              <w:tab/>
              <w:t>Time to completion of baccalaureate degree</w:t>
            </w:r>
            <w:r>
              <w:br/>
            </w:r>
            <w:r>
              <w:tab/>
              <w:t>Course repeats</w:t>
            </w:r>
            <w:r>
              <w:br/>
            </w:r>
            <w:r>
              <w:tab/>
              <w:t>GRE Scores</w:t>
            </w:r>
          </w:p>
          <w:p w:rsidR="007C53D1" w:rsidRPr="009860CD" w:rsidRDefault="002F6DDB" w:rsidP="00972106">
            <w:pPr>
              <w:pStyle w:val="Default"/>
              <w:rPr>
                <w:rFonts w:ascii="Arial Narrow" w:hAnsi="Arial Narrow" w:cs="Arial"/>
                <w:sz w:val="22"/>
                <w:szCs w:val="22"/>
              </w:rPr>
            </w:pPr>
            <w:r>
              <w:rPr>
                <w:rFonts w:ascii="Arial Narrow" w:hAnsi="Arial Narrow" w:cs="Arial"/>
                <w:sz w:val="22"/>
                <w:szCs w:val="22"/>
              </w:rPr>
              <w:t>This year involves collection of baseline data.</w:t>
            </w:r>
          </w:p>
          <w:p w:rsidR="007C53D1" w:rsidRPr="009860CD" w:rsidRDefault="0078704B" w:rsidP="00972106">
            <w:pPr>
              <w:pStyle w:val="Default"/>
              <w:rPr>
                <w:rFonts w:ascii="Arial Narrow" w:hAnsi="Arial Narrow"/>
                <w:sz w:val="22"/>
                <w:szCs w:val="22"/>
              </w:rPr>
            </w:pPr>
            <w:r w:rsidRPr="00C63E27">
              <w:rPr>
                <w:rFonts w:ascii="Arial Narrow" w:hAnsi="Arial Narrow" w:cs="Arial"/>
                <w:i/>
                <w:sz w:val="20"/>
                <w:szCs w:val="22"/>
              </w:rPr>
              <w:t>Beyond completing the above steps, how will you judge whether the objective was a success</w:t>
            </w:r>
            <w:r w:rsidR="007C53D1" w:rsidRPr="009860CD">
              <w:rPr>
                <w:rFonts w:ascii="Arial Narrow" w:hAnsi="Arial Narrow" w:cs="Arial"/>
                <w:sz w:val="22"/>
                <w:szCs w:val="22"/>
              </w:rPr>
              <w:t>?</w:t>
            </w:r>
            <w:r w:rsidR="00C63E27">
              <w:rPr>
                <w:rFonts w:ascii="Arial Narrow" w:hAnsi="Arial Narrow" w:cs="Arial"/>
                <w:sz w:val="22"/>
                <w:szCs w:val="22"/>
              </w:rPr>
              <w:t xml:space="preserve"> </w:t>
            </w:r>
          </w:p>
          <w:p w:rsidR="007C53D1" w:rsidRDefault="007C53D1" w:rsidP="00972106">
            <w:pPr>
              <w:pStyle w:val="Default"/>
              <w:rPr>
                <w:rFonts w:ascii="Arial Narrow" w:hAnsi="Arial Narrow"/>
                <w:sz w:val="22"/>
                <w:szCs w:val="22"/>
              </w:rPr>
            </w:pPr>
          </w:p>
          <w:p w:rsidR="00930200" w:rsidRPr="00DB669F" w:rsidRDefault="00DB669F" w:rsidP="00972106">
            <w:pPr>
              <w:pStyle w:val="Default"/>
              <w:rPr>
                <w:rFonts w:ascii="Arial Narrow" w:hAnsi="Arial Narrow"/>
                <w:color w:val="FF0000"/>
                <w:sz w:val="22"/>
                <w:szCs w:val="22"/>
              </w:rPr>
            </w:pPr>
            <w:r w:rsidRPr="00DB669F">
              <w:rPr>
                <w:rFonts w:ascii="Arial Narrow" w:hAnsi="Arial Narrow"/>
                <w:color w:val="FF0000"/>
                <w:sz w:val="22"/>
                <w:szCs w:val="22"/>
              </w:rPr>
              <w:t xml:space="preserve">Comments:  </w:t>
            </w:r>
            <w:proofErr w:type="gramStart"/>
            <w:r w:rsidRPr="00DB669F">
              <w:rPr>
                <w:rFonts w:ascii="Arial Narrow" w:hAnsi="Arial Narrow"/>
                <w:color w:val="FF0000"/>
                <w:sz w:val="22"/>
                <w:szCs w:val="22"/>
              </w:rPr>
              <w:t>Course repeats seems</w:t>
            </w:r>
            <w:proofErr w:type="gramEnd"/>
            <w:r w:rsidRPr="00DB669F">
              <w:rPr>
                <w:rFonts w:ascii="Arial Narrow" w:hAnsi="Arial Narrow"/>
                <w:color w:val="FF0000"/>
                <w:sz w:val="22"/>
                <w:szCs w:val="22"/>
              </w:rPr>
              <w:t xml:space="preserve"> unusual; wouldn’t students in the McNair program be very unlikely to have many, if any, course repeats by self-selection of who is in McNair? </w:t>
            </w:r>
            <w:r w:rsidR="00004CA0" w:rsidRPr="00DC1184">
              <w:rPr>
                <w:rFonts w:ascii="Arial Narrow" w:hAnsi="Arial Narrow"/>
                <w:color w:val="FF0000"/>
                <w:sz w:val="22"/>
                <w:szCs w:val="22"/>
                <w:highlight w:val="yellow"/>
              </w:rPr>
              <w:t xml:space="preserve">–I included course repeats because it is included in the data set collected by Paul </w:t>
            </w:r>
            <w:proofErr w:type="spellStart"/>
            <w:r w:rsidR="00004CA0" w:rsidRPr="00DC1184">
              <w:rPr>
                <w:rFonts w:ascii="Arial Narrow" w:hAnsi="Arial Narrow"/>
                <w:color w:val="FF0000"/>
                <w:sz w:val="22"/>
                <w:szCs w:val="22"/>
                <w:highlight w:val="yellow"/>
              </w:rPr>
              <w:t>Duby</w:t>
            </w:r>
            <w:proofErr w:type="spellEnd"/>
            <w:r w:rsidR="00004CA0" w:rsidRPr="00DC1184">
              <w:rPr>
                <w:rFonts w:ascii="Arial Narrow" w:hAnsi="Arial Narrow"/>
                <w:color w:val="FF0000"/>
                <w:sz w:val="22"/>
                <w:szCs w:val="22"/>
                <w:highlight w:val="yellow"/>
              </w:rPr>
              <w:t xml:space="preserve">. He had mentioned that this data would be available to me as comparative data so I </w:t>
            </w:r>
            <w:r w:rsidR="002F6DDB">
              <w:rPr>
                <w:rFonts w:ascii="Arial Narrow" w:hAnsi="Arial Narrow"/>
                <w:color w:val="FF0000"/>
                <w:sz w:val="22"/>
                <w:szCs w:val="22"/>
                <w:highlight w:val="yellow"/>
              </w:rPr>
              <w:t xml:space="preserve">(Heather Pickett, director of McNair Program) </w:t>
            </w:r>
            <w:proofErr w:type="gramStart"/>
            <w:r w:rsidR="00004CA0" w:rsidRPr="00DC1184">
              <w:rPr>
                <w:rFonts w:ascii="Arial Narrow" w:hAnsi="Arial Narrow"/>
                <w:color w:val="FF0000"/>
                <w:sz w:val="22"/>
                <w:szCs w:val="22"/>
                <w:highlight w:val="yellow"/>
              </w:rPr>
              <w:t xml:space="preserve">thought </w:t>
            </w:r>
            <w:r w:rsidR="00DC1184" w:rsidRPr="00DC1184">
              <w:rPr>
                <w:rFonts w:ascii="Arial Narrow" w:hAnsi="Arial Narrow"/>
                <w:color w:val="FF0000"/>
                <w:sz w:val="22"/>
                <w:szCs w:val="22"/>
                <w:highlight w:val="yellow"/>
              </w:rPr>
              <w:t xml:space="preserve"> my</w:t>
            </w:r>
            <w:proofErr w:type="gramEnd"/>
            <w:r w:rsidR="00DC1184" w:rsidRPr="00DC1184">
              <w:rPr>
                <w:rFonts w:ascii="Arial Narrow" w:hAnsi="Arial Narrow"/>
                <w:color w:val="FF0000"/>
                <w:sz w:val="22"/>
                <w:szCs w:val="22"/>
                <w:highlight w:val="yellow"/>
              </w:rPr>
              <w:t xml:space="preserve"> data set needed to include the same measures.</w:t>
            </w:r>
          </w:p>
          <w:p w:rsidR="00930200" w:rsidRPr="009860CD" w:rsidRDefault="00930200" w:rsidP="00DB669F">
            <w:pPr>
              <w:pStyle w:val="Default"/>
              <w:rPr>
                <w:rFonts w:ascii="Arial Narrow" w:hAnsi="Arial Narrow"/>
                <w:sz w:val="22"/>
                <w:szCs w:val="22"/>
              </w:rPr>
            </w:pPr>
            <w:bookmarkStart w:id="0" w:name="_GoBack"/>
            <w:bookmarkEnd w:id="0"/>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8D37E8">
            <w:pPr>
              <w:spacing w:before="240"/>
              <w:rPr>
                <w:rFonts w:ascii="Arial Narrow" w:hAnsi="Arial Narrow" w:cs="Arial"/>
                <w:b/>
              </w:rPr>
            </w:pPr>
            <w:r>
              <w:rPr>
                <w:rFonts w:ascii="Arial Narrow" w:hAnsi="Arial Narrow" w:cs="Arial"/>
                <w:b/>
                <w:sz w:val="22"/>
                <w:szCs w:val="22"/>
              </w:rPr>
              <w:lastRenderedPageBreak/>
              <w:t>Assessment Report</w:t>
            </w:r>
          </w:p>
        </w:tc>
        <w:tc>
          <w:tcPr>
            <w:tcW w:w="129" w:type="pct"/>
            <w:tcBorders>
              <w:top w:val="nil"/>
              <w:left w:val="nil"/>
              <w:bottom w:val="nil"/>
              <w:right w:val="nil"/>
            </w:tcBorders>
          </w:tcPr>
          <w:p w:rsidR="00A07684" w:rsidRPr="009860CD" w:rsidRDefault="00A07684" w:rsidP="008D37E8">
            <w:pPr>
              <w:rPr>
                <w:rFonts w:ascii="Arial Narrow" w:hAnsi="Arial Narrow" w:cs="Arial"/>
              </w:rPr>
            </w:pPr>
          </w:p>
        </w:tc>
        <w:tc>
          <w:tcPr>
            <w:tcW w:w="2427" w:type="pct"/>
            <w:tcBorders>
              <w:top w:val="nil"/>
              <w:left w:val="nil"/>
              <w:bottom w:val="nil"/>
              <w:right w:val="nil"/>
            </w:tcBorders>
          </w:tcPr>
          <w:p w:rsidR="00A07684" w:rsidRDefault="00A07684" w:rsidP="008D37E8">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8D37E8">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#3</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8D37E8">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8D37E8">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8D37E8">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8D37E8">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8D37E8">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bl>
    <w:p w:rsidR="00824F9B" w:rsidRDefault="00824F9B" w:rsidP="0036346B">
      <w:pPr>
        <w:rPr>
          <w:rFonts w:ascii="Arial Narrow" w:hAnsi="Arial Narrow"/>
          <w:b/>
          <w:sz w:val="22"/>
        </w:rPr>
      </w:pPr>
    </w:p>
    <w:p w:rsidR="00FE3472" w:rsidRDefault="00FE3472" w:rsidP="00FE3472">
      <w:pPr>
        <w:outlineLvl w:val="0"/>
        <w:rPr>
          <w:rFonts w:ascii="Arial Narrow" w:hAnsi="Arial Narrow"/>
          <w:b/>
          <w:sz w:val="22"/>
        </w:rPr>
      </w:pPr>
      <w:r>
        <w:rPr>
          <w:rFonts w:ascii="Arial Narrow" w:hAnsi="Arial Narrow"/>
          <w:b/>
          <w:sz w:val="22"/>
        </w:rPr>
        <w:t xml:space="preserve">AQIP </w:t>
      </w:r>
      <w:r w:rsidRPr="0036346B">
        <w:rPr>
          <w:rFonts w:ascii="Arial Narrow" w:hAnsi="Arial Narrow"/>
          <w:b/>
          <w:sz w:val="22"/>
        </w:rPr>
        <w:t xml:space="preserve">Functions within the University: </w:t>
      </w:r>
    </w:p>
    <w:p w:rsidR="00FE3472" w:rsidRPr="0036346B" w:rsidRDefault="00FE3472" w:rsidP="00FE3472">
      <w:pPr>
        <w:outlineLvl w:val="0"/>
        <w:rPr>
          <w:rFonts w:ascii="Arial Narrow" w:hAnsi="Arial Narrow"/>
          <w:b/>
          <w:sz w:val="22"/>
        </w:rPr>
      </w:pPr>
      <w:r w:rsidRPr="00335A5C">
        <w:rPr>
          <w:rFonts w:ascii="Arial Narrow" w:hAnsi="Arial Narrow"/>
          <w:sz w:val="22"/>
        </w:rPr>
        <w:t>Some unit objectives address specific operational issues</w:t>
      </w:r>
      <w:r>
        <w:rPr>
          <w:rFonts w:ascii="Arial Narrow" w:hAnsi="Arial Narrow"/>
          <w:sz w:val="22"/>
        </w:rPr>
        <w:t xml:space="preserve"> directly related to AQIP reporting. Listed below are AQIP categories. Use these category numbers to describe the context of each objective, i.e. which category does that objective address?</w:t>
      </w:r>
      <w:r>
        <w:rPr>
          <w:rFonts w:ascii="Arial Narrow" w:hAnsi="Arial Narrow"/>
          <w:sz w:val="22"/>
        </w:rPr>
        <w:br/>
      </w:r>
      <w:r w:rsidRPr="00FE3472">
        <w:rPr>
          <w:rFonts w:ascii="Arial Narrow" w:hAnsi="Arial Narrow"/>
          <w:sz w:val="20"/>
          <w:szCs w:val="20"/>
        </w:rPr>
        <w:t xml:space="preserve"> </w:t>
      </w:r>
      <w:r w:rsidRPr="000B004B">
        <w:rPr>
          <w:rFonts w:ascii="Arial Narrow" w:hAnsi="Arial Narrow"/>
          <w:sz w:val="20"/>
          <w:szCs w:val="20"/>
        </w:rPr>
        <w:t xml:space="preserve">(A full description of the Portfolio’s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tbl>
      <w:tblPr>
        <w:tblStyle w:val="TableGrid"/>
        <w:tblW w:w="4820" w:type="pct"/>
        <w:tblInd w:w="288" w:type="dxa"/>
        <w:tblCellMar>
          <w:left w:w="58" w:type="dxa"/>
          <w:right w:w="58" w:type="dxa"/>
        </w:tblCellMar>
        <w:tblLook w:val="04A0" w:firstRow="1" w:lastRow="0" w:firstColumn="1" w:lastColumn="0" w:noHBand="0" w:noVBand="1"/>
      </w:tblPr>
      <w:tblGrid>
        <w:gridCol w:w="941"/>
        <w:gridCol w:w="9582"/>
      </w:tblGrid>
      <w:tr w:rsidR="00FE3472" w:rsidRPr="00FE3472" w:rsidTr="00FE3472">
        <w:tc>
          <w:tcPr>
            <w:tcW w:w="5000" w:type="pct"/>
            <w:gridSpan w:val="2"/>
            <w:shd w:val="clear" w:color="auto" w:fill="D9D9D9" w:themeFill="background1" w:themeFillShade="D9"/>
          </w:tcPr>
          <w:p w:rsidR="00FE3472" w:rsidRPr="00FE3472" w:rsidRDefault="00FE3472" w:rsidP="00FE3472">
            <w:pPr>
              <w:ind w:left="274" w:hanging="274"/>
              <w:jc w:val="center"/>
              <w:rPr>
                <w:rFonts w:ascii="Arial Narrow" w:hAnsi="Arial Narrow"/>
                <w:b/>
                <w:i/>
                <w:sz w:val="20"/>
                <w:szCs w:val="20"/>
              </w:rPr>
            </w:pPr>
            <w:r w:rsidRPr="00FE3472">
              <w:rPr>
                <w:rFonts w:ascii="Arial Narrow" w:hAnsi="Arial Narrow"/>
                <w:b/>
                <w:i/>
                <w:sz w:val="20"/>
                <w:szCs w:val="20"/>
              </w:rPr>
              <w:t>AQIP Categories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1</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Helping Students Learn documents the curricular and co-curricular processes and student learning support.</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2</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3</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 xml:space="preserve">Understanding Students’ and Other Stakeholders’ Needs documents how NMU builds relationships with students, alumni and employers and </w:t>
            </w:r>
            <w:proofErr w:type="gramStart"/>
            <w:r w:rsidRPr="000B004B">
              <w:rPr>
                <w:rFonts w:ascii="Arial Narrow" w:hAnsi="Arial Narrow"/>
                <w:sz w:val="20"/>
                <w:szCs w:val="20"/>
              </w:rPr>
              <w:t>identifies,</w:t>
            </w:r>
            <w:proofErr w:type="gramEnd"/>
            <w:r w:rsidRPr="000B004B">
              <w:rPr>
                <w:rFonts w:ascii="Arial Narrow" w:hAnsi="Arial Narrow"/>
                <w:sz w:val="20"/>
                <w:szCs w:val="20"/>
              </w:rPr>
              <w:t xml:space="preserve"> targets and meets their needs.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4</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Valuing People documents NMU personnel recruitment, training, satisfaction, services and programs.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5</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6</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Supporting Institutional Operations documents student and administrative support services, safety, and facilities.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7</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8</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Planning Continuous Improvement documents NMU’s strategic and administrative planning processes.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9</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FE3472" w:rsidRPr="0036346B" w:rsidRDefault="00FE3472" w:rsidP="00FE3472">
      <w:pPr>
        <w:jc w:val="center"/>
        <w:outlineLvl w:val="0"/>
        <w:rPr>
          <w:rFonts w:ascii="Arial Narrow" w:hAnsi="Arial Narrow"/>
          <w:b/>
          <w:sz w:val="22"/>
        </w:rPr>
      </w:pPr>
      <w:r w:rsidRPr="000B004B">
        <w:rPr>
          <w:rFonts w:ascii="Arial Narrow" w:hAnsi="Arial Narrow"/>
          <w:sz w:val="20"/>
          <w:szCs w:val="20"/>
        </w:rPr>
        <w:t xml:space="preserve">(A full description of the Portfolio’s categories and its detailed topics are available at </w:t>
      </w:r>
      <w:hyperlink r:id="rId10"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p w:rsidR="00FE3472" w:rsidRDefault="00FE3472" w:rsidP="009860CD">
      <w:pPr>
        <w:outlineLvl w:val="0"/>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820" w:type="pct"/>
        <w:tblInd w:w="288" w:type="dxa"/>
        <w:tblLook w:val="04A0" w:firstRow="1" w:lastRow="0" w:firstColumn="1" w:lastColumn="0" w:noHBand="0" w:noVBand="1"/>
      </w:tblPr>
      <w:tblGrid>
        <w:gridCol w:w="650"/>
        <w:gridCol w:w="9969"/>
      </w:tblGrid>
      <w:tr w:rsidR="00CF3DE1" w:rsidRPr="0036346B" w:rsidTr="00FE3472">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lastRenderedPageBreak/>
              <w:t>Road Map to 2015 Goals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94"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8D37E8">
            <w:pPr>
              <w:rPr>
                <w:rFonts w:ascii="Arial Narrow" w:hAnsi="Arial Narrow"/>
                <w:b/>
                <w:i/>
                <w:iCs/>
                <w:sz w:val="20"/>
                <w:szCs w:val="20"/>
              </w:rPr>
            </w:pPr>
          </w:p>
        </w:tc>
        <w:tc>
          <w:tcPr>
            <w:tcW w:w="4694" w:type="pct"/>
            <w:shd w:val="clear" w:color="auto" w:fill="D9D9D9" w:themeFill="background1" w:themeFillShade="D9"/>
          </w:tcPr>
          <w:p w:rsidR="0078704B" w:rsidRPr="0036346B" w:rsidRDefault="00AA3E90" w:rsidP="008D37E8">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8D37E8">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8D37E8">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8D37E8">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8D37E8">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footerReference w:type="default" r:id="rId12"/>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BD" w:rsidRDefault="003E28BD" w:rsidP="00CC0C16">
      <w:r>
        <w:separator/>
      </w:r>
    </w:p>
  </w:endnote>
  <w:endnote w:type="continuationSeparator" w:id="0">
    <w:p w:rsidR="003E28BD" w:rsidRDefault="003E28BD" w:rsidP="00C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01E" w:rsidRPr="00216099" w:rsidRDefault="0031001E"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Improvement </w:t>
    </w:r>
    <w:r w:rsidRPr="00557FAC">
      <w:rPr>
        <w:rFonts w:asciiTheme="minorHAnsi" w:hAnsiTheme="minorHAnsi" w:cstheme="minorHAnsi"/>
        <w:sz w:val="16"/>
      </w:rPr>
      <w:t>Plan</w:t>
    </w:r>
    <w:r>
      <w:rPr>
        <w:rFonts w:asciiTheme="minorHAnsi" w:hAnsiTheme="minorHAnsi" w:cstheme="minorHAnsi"/>
        <w:sz w:val="16"/>
      </w:rPr>
      <w:t>/</w:t>
    </w:r>
    <w:r w:rsidRPr="00112399">
      <w:rPr>
        <w:rFonts w:asciiTheme="minorHAnsi" w:hAnsiTheme="minorHAnsi" w:cstheme="minorHAnsi"/>
        <w:sz w:val="16"/>
      </w:rPr>
      <w:t xml:space="preserve"> </w:t>
    </w:r>
    <w:r w:rsidRPr="00557FAC">
      <w:rPr>
        <w:rFonts w:asciiTheme="minorHAnsi" w:hAnsiTheme="minorHAnsi" w:cstheme="minorHAnsi"/>
        <w:sz w:val="16"/>
      </w:rPr>
      <w:t xml:space="preserve">Assessment </w:t>
    </w:r>
    <w:r>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Pr="004304D6">
          <w:rPr>
            <w:rFonts w:asciiTheme="minorHAnsi" w:hAnsiTheme="minorHAnsi" w:cstheme="minorHAnsi"/>
            <w:sz w:val="18"/>
          </w:rPr>
          <w:fldChar w:fldCharType="separate"/>
        </w:r>
        <w:r w:rsidR="002F6DDB">
          <w:rPr>
            <w:rFonts w:asciiTheme="minorHAnsi" w:hAnsiTheme="minorHAnsi" w:cstheme="minorHAnsi"/>
            <w:noProof/>
            <w:sz w:val="18"/>
          </w:rPr>
          <w:t>6</w:t>
        </w:r>
        <w:r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BD" w:rsidRDefault="003E28BD" w:rsidP="00CC0C16">
      <w:r>
        <w:separator/>
      </w:r>
    </w:p>
  </w:footnote>
  <w:footnote w:type="continuationSeparator" w:id="0">
    <w:p w:rsidR="003E28BD" w:rsidRDefault="003E28BD"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7C4C"/>
    <w:multiLevelType w:val="multilevel"/>
    <w:tmpl w:val="9894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F47E0"/>
    <w:multiLevelType w:val="hybridMultilevel"/>
    <w:tmpl w:val="AD145A80"/>
    <w:lvl w:ilvl="0" w:tplc="8514ED5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66423"/>
    <w:multiLevelType w:val="hybridMultilevel"/>
    <w:tmpl w:val="C42A02D6"/>
    <w:lvl w:ilvl="0" w:tplc="8514ED5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D288C"/>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4B5070"/>
    <w:multiLevelType w:val="hybridMultilevel"/>
    <w:tmpl w:val="AD145A80"/>
    <w:lvl w:ilvl="0" w:tplc="8514ED5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4CA0"/>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2E0E"/>
    <w:rsid w:val="00073005"/>
    <w:rsid w:val="00073251"/>
    <w:rsid w:val="00074C5D"/>
    <w:rsid w:val="00075AAF"/>
    <w:rsid w:val="000760CB"/>
    <w:rsid w:val="00076922"/>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4173"/>
    <w:rsid w:val="000E59ED"/>
    <w:rsid w:val="000F46D5"/>
    <w:rsid w:val="000F7E47"/>
    <w:rsid w:val="000F7F86"/>
    <w:rsid w:val="00101B17"/>
    <w:rsid w:val="0010312E"/>
    <w:rsid w:val="00103808"/>
    <w:rsid w:val="001117E7"/>
    <w:rsid w:val="00111CD1"/>
    <w:rsid w:val="00111FBE"/>
    <w:rsid w:val="00112399"/>
    <w:rsid w:val="00114314"/>
    <w:rsid w:val="00120E26"/>
    <w:rsid w:val="001223F5"/>
    <w:rsid w:val="00122E20"/>
    <w:rsid w:val="001269A6"/>
    <w:rsid w:val="00127D44"/>
    <w:rsid w:val="001306EF"/>
    <w:rsid w:val="0013386D"/>
    <w:rsid w:val="00135AB5"/>
    <w:rsid w:val="00143861"/>
    <w:rsid w:val="00145B52"/>
    <w:rsid w:val="00147A8B"/>
    <w:rsid w:val="00150C00"/>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B78AF"/>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2CD8"/>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7710C"/>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4E27"/>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6DDB"/>
    <w:rsid w:val="002F7AC7"/>
    <w:rsid w:val="0030758B"/>
    <w:rsid w:val="00307CCC"/>
    <w:rsid w:val="0031001E"/>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538"/>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363"/>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BD"/>
    <w:rsid w:val="003E28CC"/>
    <w:rsid w:val="003E2AF2"/>
    <w:rsid w:val="003E48AB"/>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23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97AB7"/>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4AEA"/>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747"/>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4CC6"/>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07B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B3A"/>
    <w:rsid w:val="00640CB7"/>
    <w:rsid w:val="00642189"/>
    <w:rsid w:val="00643110"/>
    <w:rsid w:val="0064401E"/>
    <w:rsid w:val="00644312"/>
    <w:rsid w:val="00645572"/>
    <w:rsid w:val="00645CBD"/>
    <w:rsid w:val="006467A0"/>
    <w:rsid w:val="00646FD9"/>
    <w:rsid w:val="0064723A"/>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A09"/>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B5B"/>
    <w:rsid w:val="006A3E8D"/>
    <w:rsid w:val="006A409B"/>
    <w:rsid w:val="006A692D"/>
    <w:rsid w:val="006B01CD"/>
    <w:rsid w:val="006B05F1"/>
    <w:rsid w:val="006B06DC"/>
    <w:rsid w:val="006B13C3"/>
    <w:rsid w:val="006B2474"/>
    <w:rsid w:val="006B3C42"/>
    <w:rsid w:val="006B4272"/>
    <w:rsid w:val="006B43A8"/>
    <w:rsid w:val="006B465B"/>
    <w:rsid w:val="006B481D"/>
    <w:rsid w:val="006B60EE"/>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32D7"/>
    <w:rsid w:val="00794E8D"/>
    <w:rsid w:val="007952DC"/>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3F"/>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4EF4"/>
    <w:rsid w:val="008752A6"/>
    <w:rsid w:val="00875C2A"/>
    <w:rsid w:val="00875E49"/>
    <w:rsid w:val="00880973"/>
    <w:rsid w:val="00880EC9"/>
    <w:rsid w:val="00881080"/>
    <w:rsid w:val="008871EE"/>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37E8"/>
    <w:rsid w:val="008D55C9"/>
    <w:rsid w:val="008D68B4"/>
    <w:rsid w:val="008D7379"/>
    <w:rsid w:val="008D75FF"/>
    <w:rsid w:val="008E2EDA"/>
    <w:rsid w:val="008E4F37"/>
    <w:rsid w:val="008E52F9"/>
    <w:rsid w:val="008E5557"/>
    <w:rsid w:val="008E5D3D"/>
    <w:rsid w:val="008E69F0"/>
    <w:rsid w:val="008E722D"/>
    <w:rsid w:val="008F1898"/>
    <w:rsid w:val="008F2D2A"/>
    <w:rsid w:val="008F3082"/>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200"/>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1DC4"/>
    <w:rsid w:val="0096206D"/>
    <w:rsid w:val="009622E3"/>
    <w:rsid w:val="009644A0"/>
    <w:rsid w:val="00964B75"/>
    <w:rsid w:val="009654CD"/>
    <w:rsid w:val="00965F73"/>
    <w:rsid w:val="009665BF"/>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79D"/>
    <w:rsid w:val="00A0384C"/>
    <w:rsid w:val="00A068FE"/>
    <w:rsid w:val="00A07684"/>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77BAF"/>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5CE1"/>
    <w:rsid w:val="00B06233"/>
    <w:rsid w:val="00B077B4"/>
    <w:rsid w:val="00B10ADC"/>
    <w:rsid w:val="00B14681"/>
    <w:rsid w:val="00B1475E"/>
    <w:rsid w:val="00B151EB"/>
    <w:rsid w:val="00B15930"/>
    <w:rsid w:val="00B20489"/>
    <w:rsid w:val="00B213F2"/>
    <w:rsid w:val="00B216CF"/>
    <w:rsid w:val="00B22EE2"/>
    <w:rsid w:val="00B258EF"/>
    <w:rsid w:val="00B26254"/>
    <w:rsid w:val="00B33479"/>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6584C"/>
    <w:rsid w:val="00B727BB"/>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327F"/>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1C19"/>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3E27"/>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1909"/>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0BF2"/>
    <w:rsid w:val="00D11400"/>
    <w:rsid w:val="00D1232B"/>
    <w:rsid w:val="00D125D8"/>
    <w:rsid w:val="00D12AB1"/>
    <w:rsid w:val="00D14D27"/>
    <w:rsid w:val="00D15659"/>
    <w:rsid w:val="00D15D6C"/>
    <w:rsid w:val="00D218BB"/>
    <w:rsid w:val="00D2331A"/>
    <w:rsid w:val="00D23320"/>
    <w:rsid w:val="00D23F90"/>
    <w:rsid w:val="00D2796A"/>
    <w:rsid w:val="00D31BC4"/>
    <w:rsid w:val="00D36E25"/>
    <w:rsid w:val="00D427AA"/>
    <w:rsid w:val="00D4331B"/>
    <w:rsid w:val="00D465BC"/>
    <w:rsid w:val="00D524D8"/>
    <w:rsid w:val="00D52614"/>
    <w:rsid w:val="00D544F2"/>
    <w:rsid w:val="00D546C7"/>
    <w:rsid w:val="00D552BB"/>
    <w:rsid w:val="00D60189"/>
    <w:rsid w:val="00D60577"/>
    <w:rsid w:val="00D63933"/>
    <w:rsid w:val="00D65191"/>
    <w:rsid w:val="00D65556"/>
    <w:rsid w:val="00D6616B"/>
    <w:rsid w:val="00D67DCF"/>
    <w:rsid w:val="00D71B2E"/>
    <w:rsid w:val="00D7395A"/>
    <w:rsid w:val="00D73961"/>
    <w:rsid w:val="00D73B9B"/>
    <w:rsid w:val="00D81B34"/>
    <w:rsid w:val="00D83182"/>
    <w:rsid w:val="00D84DDE"/>
    <w:rsid w:val="00D84E59"/>
    <w:rsid w:val="00D85862"/>
    <w:rsid w:val="00D85B8A"/>
    <w:rsid w:val="00D87221"/>
    <w:rsid w:val="00D901F3"/>
    <w:rsid w:val="00D93076"/>
    <w:rsid w:val="00D9337C"/>
    <w:rsid w:val="00D9541A"/>
    <w:rsid w:val="00D95B04"/>
    <w:rsid w:val="00D95C56"/>
    <w:rsid w:val="00D964D8"/>
    <w:rsid w:val="00D977D6"/>
    <w:rsid w:val="00DA586B"/>
    <w:rsid w:val="00DA6D7E"/>
    <w:rsid w:val="00DA76B9"/>
    <w:rsid w:val="00DB2706"/>
    <w:rsid w:val="00DB465C"/>
    <w:rsid w:val="00DB5164"/>
    <w:rsid w:val="00DB5C6F"/>
    <w:rsid w:val="00DB669F"/>
    <w:rsid w:val="00DB7FB8"/>
    <w:rsid w:val="00DC1184"/>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6E6E"/>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5460"/>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3472"/>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character" w:styleId="CommentReference">
    <w:name w:val="annotation reference"/>
    <w:basedOn w:val="DefaultParagraphFont"/>
    <w:uiPriority w:val="99"/>
    <w:semiHidden/>
    <w:unhideWhenUsed/>
    <w:rsid w:val="00BD327F"/>
    <w:rPr>
      <w:sz w:val="16"/>
      <w:szCs w:val="16"/>
    </w:rPr>
  </w:style>
  <w:style w:type="paragraph" w:styleId="CommentText">
    <w:name w:val="annotation text"/>
    <w:basedOn w:val="Normal"/>
    <w:link w:val="CommentTextChar"/>
    <w:uiPriority w:val="99"/>
    <w:semiHidden/>
    <w:unhideWhenUsed/>
    <w:rsid w:val="00BD327F"/>
    <w:rPr>
      <w:sz w:val="20"/>
      <w:szCs w:val="20"/>
    </w:rPr>
  </w:style>
  <w:style w:type="character" w:customStyle="1" w:styleId="CommentTextChar">
    <w:name w:val="Comment Text Char"/>
    <w:basedOn w:val="DefaultParagraphFont"/>
    <w:link w:val="CommentText"/>
    <w:uiPriority w:val="99"/>
    <w:semiHidden/>
    <w:rsid w:val="00BD32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327F"/>
    <w:rPr>
      <w:b/>
      <w:bCs/>
    </w:rPr>
  </w:style>
  <w:style w:type="character" w:customStyle="1" w:styleId="CommentSubjectChar">
    <w:name w:val="Comment Subject Char"/>
    <w:basedOn w:val="CommentTextChar"/>
    <w:link w:val="CommentSubject"/>
    <w:uiPriority w:val="99"/>
    <w:semiHidden/>
    <w:rsid w:val="00BD327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327F"/>
    <w:rPr>
      <w:rFonts w:ascii="Tahoma" w:hAnsi="Tahoma" w:cs="Tahoma"/>
      <w:sz w:val="16"/>
      <w:szCs w:val="16"/>
    </w:rPr>
  </w:style>
  <w:style w:type="character" w:customStyle="1" w:styleId="BalloonTextChar">
    <w:name w:val="Balloon Text Char"/>
    <w:basedOn w:val="DefaultParagraphFont"/>
    <w:link w:val="BalloonText"/>
    <w:uiPriority w:val="99"/>
    <w:semiHidden/>
    <w:rsid w:val="00BD327F"/>
    <w:rPr>
      <w:rFonts w:ascii="Tahoma" w:eastAsia="Times New Roman" w:hAnsi="Tahoma" w:cs="Tahoma"/>
      <w:sz w:val="16"/>
      <w:szCs w:val="16"/>
    </w:rPr>
  </w:style>
  <w:style w:type="table" w:customStyle="1" w:styleId="TableGrid1">
    <w:name w:val="Table Grid1"/>
    <w:basedOn w:val="TableNormal"/>
    <w:next w:val="TableGrid"/>
    <w:uiPriority w:val="59"/>
    <w:rsid w:val="007952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character" w:styleId="CommentReference">
    <w:name w:val="annotation reference"/>
    <w:basedOn w:val="DefaultParagraphFont"/>
    <w:uiPriority w:val="99"/>
    <w:semiHidden/>
    <w:unhideWhenUsed/>
    <w:rsid w:val="00BD327F"/>
    <w:rPr>
      <w:sz w:val="16"/>
      <w:szCs w:val="16"/>
    </w:rPr>
  </w:style>
  <w:style w:type="paragraph" w:styleId="CommentText">
    <w:name w:val="annotation text"/>
    <w:basedOn w:val="Normal"/>
    <w:link w:val="CommentTextChar"/>
    <w:uiPriority w:val="99"/>
    <w:semiHidden/>
    <w:unhideWhenUsed/>
    <w:rsid w:val="00BD327F"/>
    <w:rPr>
      <w:sz w:val="20"/>
      <w:szCs w:val="20"/>
    </w:rPr>
  </w:style>
  <w:style w:type="character" w:customStyle="1" w:styleId="CommentTextChar">
    <w:name w:val="Comment Text Char"/>
    <w:basedOn w:val="DefaultParagraphFont"/>
    <w:link w:val="CommentText"/>
    <w:uiPriority w:val="99"/>
    <w:semiHidden/>
    <w:rsid w:val="00BD32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327F"/>
    <w:rPr>
      <w:b/>
      <w:bCs/>
    </w:rPr>
  </w:style>
  <w:style w:type="character" w:customStyle="1" w:styleId="CommentSubjectChar">
    <w:name w:val="Comment Subject Char"/>
    <w:basedOn w:val="CommentTextChar"/>
    <w:link w:val="CommentSubject"/>
    <w:uiPriority w:val="99"/>
    <w:semiHidden/>
    <w:rsid w:val="00BD327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327F"/>
    <w:rPr>
      <w:rFonts w:ascii="Tahoma" w:hAnsi="Tahoma" w:cs="Tahoma"/>
      <w:sz w:val="16"/>
      <w:szCs w:val="16"/>
    </w:rPr>
  </w:style>
  <w:style w:type="character" w:customStyle="1" w:styleId="BalloonTextChar">
    <w:name w:val="Balloon Text Char"/>
    <w:basedOn w:val="DefaultParagraphFont"/>
    <w:link w:val="BalloonText"/>
    <w:uiPriority w:val="99"/>
    <w:semiHidden/>
    <w:rsid w:val="00BD327F"/>
    <w:rPr>
      <w:rFonts w:ascii="Tahoma" w:eastAsia="Times New Roman" w:hAnsi="Tahoma" w:cs="Tahoma"/>
      <w:sz w:val="16"/>
      <w:szCs w:val="16"/>
    </w:rPr>
  </w:style>
  <w:style w:type="table" w:customStyle="1" w:styleId="TableGrid1">
    <w:name w:val="Table Grid1"/>
    <w:basedOn w:val="TableNormal"/>
    <w:next w:val="TableGrid"/>
    <w:uiPriority w:val="59"/>
    <w:rsid w:val="007952D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hyperlink" Target="http://www.nmu.edu/aqip" TargetMode="External"/><Relationship Id="rId4" Type="http://schemas.microsoft.com/office/2007/relationships/stylesWithEffects" Target="stylesWithEffects.xml"/><Relationship Id="rId9" Type="http://schemas.openxmlformats.org/officeDocument/2006/relationships/hyperlink" Target="http://www.nmu.edu/aq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895A6-C143-4621-A549-FD68D905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3663</Words>
  <Characters>20885</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Erica Franich</cp:lastModifiedBy>
  <cp:revision>2</cp:revision>
  <dcterms:created xsi:type="dcterms:W3CDTF">2012-11-26T19:55:00Z</dcterms:created>
  <dcterms:modified xsi:type="dcterms:W3CDTF">2012-11-26T19:55:00Z</dcterms:modified>
</cp:coreProperties>
</file>