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FE3472" w:rsidP="009860CD">
      <w:pPr>
        <w:jc w:val="center"/>
        <w:outlineLvl w:val="0"/>
        <w:rPr>
          <w:rFonts w:ascii="Arial Narrow" w:hAnsi="Arial Narrow" w:cs="Arial"/>
          <w:b/>
          <w:szCs w:val="28"/>
        </w:rPr>
      </w:pPr>
      <w:r>
        <w:rPr>
          <w:rFonts w:ascii="Arial Narrow" w:hAnsi="Arial Narrow" w:cs="Arial"/>
          <w:b/>
          <w:szCs w:val="28"/>
        </w:rPr>
        <w:t xml:space="preserve">Improvement Plan </w:t>
      </w:r>
      <w:r w:rsidR="00B60EE2" w:rsidRPr="00E47E9A">
        <w:rPr>
          <w:rFonts w:ascii="Arial Narrow" w:hAnsi="Arial Narrow" w:cs="Arial"/>
          <w:b/>
          <w:szCs w:val="28"/>
        </w:rPr>
        <w:t>/</w:t>
      </w:r>
      <w:r>
        <w:rPr>
          <w:rFonts w:ascii="Arial Narrow" w:hAnsi="Arial Narrow" w:cs="Arial"/>
          <w:b/>
          <w:szCs w:val="28"/>
        </w:rPr>
        <w:t xml:space="preserve"> Assessment Report 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C63E27" w:rsidTr="00A51F47">
        <w:tc>
          <w:tcPr>
            <w:tcW w:w="2628" w:type="dxa"/>
            <w:gridSpan w:val="2"/>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7544E9" w:rsidP="00254735">
            <w:pPr>
              <w:rPr>
                <w:rFonts w:ascii="Arial Narrow" w:hAnsi="Arial Narrow"/>
              </w:rPr>
            </w:pPr>
            <w:r>
              <w:rPr>
                <w:rFonts w:ascii="Arial Narrow" w:hAnsi="Arial Narrow"/>
              </w:rPr>
              <w:t>Alumni Relations</w:t>
            </w:r>
          </w:p>
        </w:tc>
      </w:tr>
      <w:tr w:rsidR="00B60EE2" w:rsidRPr="00C63E27" w:rsidTr="00A24592">
        <w:tc>
          <w:tcPr>
            <w:tcW w:w="2088" w:type="dxa"/>
            <w:tcBorders>
              <w:top w:val="nil"/>
              <w:left w:val="nil"/>
              <w:bottom w:val="nil"/>
              <w:right w:val="single" w:sz="4" w:space="0" w:color="auto"/>
            </w:tcBorders>
            <w:shd w:val="clear" w:color="auto" w:fill="FFFFFF"/>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FD03FE" w:rsidP="007544E9">
            <w:pPr>
              <w:rPr>
                <w:rFonts w:ascii="Arial Narrow" w:hAnsi="Arial Narrow" w:cs="Arial"/>
              </w:rPr>
            </w:pPr>
            <w:r w:rsidRPr="00C63E27">
              <w:rPr>
                <w:rFonts w:ascii="Arial Narrow" w:hAnsi="Arial Narrow" w:cs="Arial"/>
                <w:sz w:val="22"/>
                <w:szCs w:val="22"/>
              </w:rPr>
              <w:sym w:font="Wingdings" w:char="F0FE"/>
            </w:r>
            <w:r w:rsidRPr="00C63E27">
              <w:rPr>
                <w:rFonts w:ascii="Arial Narrow" w:hAnsi="Arial Narrow" w:cs="Arial"/>
                <w:sz w:val="22"/>
                <w:szCs w:val="22"/>
              </w:rPr>
              <w:t xml:space="preserve"> </w:t>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 xml:space="preserve">PLAN or </w:t>
            </w:r>
            <w:r w:rsidR="00B60EE2" w:rsidRPr="00C63E27">
              <w:rPr>
                <w:rFonts w:ascii="Arial Narrow" w:hAnsi="Arial Narrow" w:cs="Arial"/>
                <w:sz w:val="22"/>
                <w:szCs w:val="22"/>
                <w:u w:val="single"/>
              </w:rPr>
              <w:sym w:font="Wingdings" w:char="F0A8"/>
            </w:r>
            <w:r w:rsidR="00B60EE2" w:rsidRPr="00C63E27">
              <w:rPr>
                <w:rFonts w:ascii="Arial Narrow" w:hAnsi="Arial Narrow" w:cs="Arial"/>
                <w:sz w:val="22"/>
                <w:szCs w:val="22"/>
              </w:rPr>
              <w:t xml:space="preserve"> </w:t>
            </w:r>
            <w:r w:rsidR="00A24592" w:rsidRPr="00C63E27">
              <w:rPr>
                <w:rFonts w:ascii="Arial Narrow" w:hAnsi="Arial Narrow" w:cs="Arial"/>
                <w:sz w:val="22"/>
                <w:szCs w:val="22"/>
              </w:rPr>
              <w:t xml:space="preserve"> </w:t>
            </w:r>
            <w:r w:rsidR="00B60EE2" w:rsidRPr="00C63E27">
              <w:rPr>
                <w:rFonts w:ascii="Arial Narrow" w:hAnsi="Arial Narrow" w:cs="Arial"/>
                <w:sz w:val="22"/>
                <w:szCs w:val="22"/>
              </w:rPr>
              <w:t>REPORT for July 1, 20</w:t>
            </w:r>
            <w:r w:rsidR="00FE3472" w:rsidRPr="00C63E27">
              <w:rPr>
                <w:rFonts w:ascii="Arial Narrow" w:hAnsi="Arial Narrow" w:cs="Arial"/>
                <w:sz w:val="22"/>
                <w:szCs w:val="22"/>
              </w:rPr>
              <w:t>1</w:t>
            </w:r>
            <w:r w:rsidR="007544E9">
              <w:rPr>
                <w:rFonts w:ascii="Arial Narrow" w:hAnsi="Arial Narrow" w:cs="Arial"/>
                <w:sz w:val="22"/>
                <w:szCs w:val="22"/>
              </w:rPr>
              <w:t>2</w:t>
            </w:r>
            <w:r w:rsidR="00B60EE2" w:rsidRPr="00C63E27">
              <w:rPr>
                <w:rFonts w:ascii="Arial Narrow" w:hAnsi="Arial Narrow" w:cs="Arial"/>
                <w:sz w:val="22"/>
                <w:szCs w:val="22"/>
              </w:rPr>
              <w:t xml:space="preserve"> to June 30, 20</w:t>
            </w:r>
            <w:r w:rsidR="00FE3472" w:rsidRPr="00C63E27">
              <w:rPr>
                <w:rFonts w:ascii="Arial Narrow" w:hAnsi="Arial Narrow" w:cs="Arial"/>
                <w:sz w:val="22"/>
                <w:szCs w:val="22"/>
              </w:rPr>
              <w:t>1</w:t>
            </w:r>
            <w:r w:rsidR="007544E9">
              <w:rPr>
                <w:rFonts w:ascii="Arial Narrow" w:hAnsi="Arial Narrow" w:cs="Arial"/>
                <w:sz w:val="22"/>
                <w:szCs w:val="22"/>
              </w:rPr>
              <w:t>3</w:t>
            </w:r>
          </w:p>
        </w:tc>
        <w:tc>
          <w:tcPr>
            <w:tcW w:w="1620" w:type="dxa"/>
            <w:tcBorders>
              <w:top w:val="nil"/>
              <w:left w:val="single" w:sz="4" w:space="0" w:color="auto"/>
              <w:bottom w:val="nil"/>
              <w:right w:val="single" w:sz="4" w:space="0" w:color="auto"/>
            </w:tcBorders>
            <w:shd w:val="clear" w:color="auto" w:fill="FFFFFF"/>
            <w:vAlign w:val="center"/>
          </w:tcPr>
          <w:p w:rsidR="00B60EE2" w:rsidRPr="00C63E27" w:rsidRDefault="00B60EE2" w:rsidP="00A51F47">
            <w:pPr>
              <w:rPr>
                <w:rFonts w:ascii="Arial Narrow" w:hAnsi="Arial Narrow" w:cs="Arial"/>
              </w:rPr>
            </w:pPr>
            <w:r w:rsidRPr="00C63E27">
              <w:rPr>
                <w:rFonts w:ascii="Arial Narrow" w:hAnsi="Arial Narrow" w:cs="Arial"/>
                <w:sz w:val="22"/>
                <w:szCs w:val="22"/>
                <w:shd w:val="clear" w:color="auto" w:fill="FFFFFF" w:themeFill="background1"/>
              </w:rPr>
              <w:t>Date Submitted</w:t>
            </w:r>
            <w:r w:rsidR="00A51F47" w:rsidRPr="00C63E27">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C63E27" w:rsidRDefault="007544E9" w:rsidP="00254735">
            <w:pPr>
              <w:rPr>
                <w:rFonts w:ascii="Arial Narrow" w:hAnsi="Arial Narrow" w:cs="Arial"/>
              </w:rPr>
            </w:pPr>
            <w:r>
              <w:rPr>
                <w:rFonts w:ascii="Arial Narrow" w:hAnsi="Arial Narrow" w:cs="Arial"/>
              </w:rPr>
              <w:t>10/12/2012</w:t>
            </w:r>
          </w:p>
        </w:tc>
      </w:tr>
      <w:tr w:rsidR="00B60EE2" w:rsidRPr="00C63E27" w:rsidTr="00A51F47">
        <w:tc>
          <w:tcPr>
            <w:tcW w:w="3348" w:type="dxa"/>
            <w:gridSpan w:val="3"/>
            <w:tcBorders>
              <w:top w:val="nil"/>
              <w:left w:val="nil"/>
              <w:bottom w:val="nil"/>
              <w:right w:val="single" w:sz="4" w:space="0" w:color="auto"/>
            </w:tcBorders>
            <w:vAlign w:val="center"/>
          </w:tcPr>
          <w:p w:rsidR="00B60EE2" w:rsidRPr="00C63E27" w:rsidRDefault="00B60EE2" w:rsidP="00254735">
            <w:pPr>
              <w:rPr>
                <w:rFonts w:ascii="Arial Narrow" w:hAnsi="Arial Narrow" w:cs="Arial"/>
              </w:rPr>
            </w:pPr>
            <w:r w:rsidRPr="00C63E27">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C63E27" w:rsidRDefault="007544E9" w:rsidP="00254735">
            <w:pPr>
              <w:rPr>
                <w:rFonts w:ascii="Arial Narrow" w:hAnsi="Arial Narrow"/>
              </w:rPr>
            </w:pPr>
            <w:r>
              <w:rPr>
                <w:rFonts w:ascii="Arial Narrow" w:hAnsi="Arial Narrow"/>
              </w:rPr>
              <w:t xml:space="preserve">Robyn Stille, Executive Director of Alumni </w:t>
            </w:r>
            <w:bookmarkStart w:id="0" w:name="_GoBack"/>
            <w:bookmarkEnd w:id="0"/>
            <w:r>
              <w:rPr>
                <w:rFonts w:ascii="Arial Narrow" w:hAnsi="Arial Narrow"/>
              </w:rPr>
              <w:t>Relations and Annual Giving</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7544E9">
              <w:rPr>
                <w:rFonts w:ascii="Arial Narrow" w:hAnsi="Arial Narrow" w:cs="Arial"/>
                <w:b/>
                <w:sz w:val="22"/>
                <w:szCs w:val="22"/>
              </w:rPr>
              <w:t>X</w:t>
            </w:r>
            <w:r w:rsidR="007D2C63">
              <w:rPr>
                <w:rFonts w:ascii="Arial Narrow" w:hAnsi="Arial Narrow" w:cs="Arial"/>
                <w:b/>
                <w:sz w:val="22"/>
                <w:szCs w:val="22"/>
              </w:rPr>
              <w:t>_ No</w:t>
            </w:r>
          </w:p>
        </w:tc>
      </w:tr>
      <w:tr w:rsidR="00A51F47" w:rsidRPr="00C63E27"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C63E27" w:rsidRDefault="007544E9" w:rsidP="007544E9">
            <w:pPr>
              <w:rPr>
                <w:rFonts w:ascii="Arial Narrow" w:hAnsi="Arial Narrow" w:cs="Arial"/>
                <w:szCs w:val="20"/>
              </w:rPr>
            </w:pPr>
            <w:r w:rsidRPr="007544E9">
              <w:rPr>
                <w:rFonts w:ascii="Arial Narrow" w:hAnsi="Arial Narrow" w:cs="Arial"/>
                <w:szCs w:val="20"/>
              </w:rPr>
              <w:t>The mission of the Northern Michigan University Alumni Association is to cultivate a strong tradition of loyalty and involvement among alumni, students, friends and community while advancing the interests of the university.</w:t>
            </w:r>
          </w:p>
        </w:tc>
      </w:tr>
    </w:tbl>
    <w:p w:rsidR="00A51F47" w:rsidRPr="009860CD" w:rsidRDefault="00A51F47">
      <w:pPr>
        <w:rPr>
          <w:rFonts w:ascii="Arial Narrow" w:hAnsi="Arial Narrow"/>
          <w:sz w:val="22"/>
        </w:rPr>
      </w:pPr>
    </w:p>
    <w:tbl>
      <w:tblPr>
        <w:tblW w:w="502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1E0" w:firstRow="1" w:lastRow="1" w:firstColumn="1" w:lastColumn="1" w:noHBand="0" w:noVBand="0"/>
      </w:tblPr>
      <w:tblGrid>
        <w:gridCol w:w="5315"/>
        <w:gridCol w:w="283"/>
        <w:gridCol w:w="5322"/>
        <w:gridCol w:w="44"/>
      </w:tblGrid>
      <w:tr w:rsidR="002C4E27" w:rsidRPr="009860CD" w:rsidTr="002C4E27">
        <w:tc>
          <w:tcPr>
            <w:tcW w:w="2424" w:type="pct"/>
            <w:tcBorders>
              <w:top w:val="nil"/>
              <w:left w:val="nil"/>
              <w:bottom w:val="single" w:sz="4" w:space="0" w:color="auto"/>
              <w:right w:val="nil"/>
            </w:tcBorders>
          </w:tcPr>
          <w:p w:rsidR="00A07684" w:rsidRPr="009860CD" w:rsidRDefault="00A07684" w:rsidP="00425DE7">
            <w:pPr>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DE7">
            <w:pPr>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425DE7">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E76928" w:rsidRDefault="00A07684" w:rsidP="00E76928">
            <w:pPr>
              <w:rPr>
                <w:rFonts w:ascii="Arial Narrow" w:hAnsi="Arial Narrow" w:cs="Arial"/>
              </w:rPr>
            </w:pPr>
            <w:r w:rsidRPr="009860CD">
              <w:rPr>
                <w:rFonts w:ascii="Arial Narrow" w:hAnsi="Arial Narrow" w:cs="Arial"/>
                <w:b/>
                <w:sz w:val="22"/>
                <w:szCs w:val="22"/>
              </w:rPr>
              <w:t>Administrative Objective #1</w:t>
            </w:r>
            <w:r w:rsidR="002524D0">
              <w:rPr>
                <w:rFonts w:ascii="Arial Narrow" w:hAnsi="Arial Narrow" w:cs="Arial"/>
                <w:b/>
                <w:sz w:val="22"/>
                <w:szCs w:val="22"/>
              </w:rPr>
              <w:t xml:space="preserve">  </w:t>
            </w:r>
          </w:p>
          <w:p w:rsidR="002524D0" w:rsidRDefault="002524D0" w:rsidP="002524D0">
            <w:pPr>
              <w:rPr>
                <w:rFonts w:ascii="Arial Narrow" w:hAnsi="Arial Narrow" w:cs="Arial"/>
              </w:rPr>
            </w:pPr>
          </w:p>
          <w:p w:rsidR="002524D0" w:rsidRPr="002524D0" w:rsidRDefault="002524D0" w:rsidP="002524D0">
            <w:pPr>
              <w:rPr>
                <w:rFonts w:ascii="Arial Narrow" w:hAnsi="Arial Narrow" w:cs="Arial"/>
              </w:rPr>
            </w:pPr>
          </w:p>
        </w:tc>
        <w:tc>
          <w:tcPr>
            <w:tcW w:w="129" w:type="pct"/>
            <w:tcBorders>
              <w:top w:val="single" w:sz="4" w:space="0" w:color="auto"/>
              <w:left w:val="nil"/>
              <w:bottom w:val="nil"/>
              <w:right w:val="nil"/>
            </w:tcBorders>
          </w:tcPr>
          <w:p w:rsidR="00A07684" w:rsidRPr="009860CD" w:rsidRDefault="00A07684" w:rsidP="00425DE7">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411E1D" w:rsidRPr="00E76928" w:rsidRDefault="00A07684" w:rsidP="001416A0">
            <w:pPr>
              <w:rPr>
                <w:rFonts w:ascii="Arial Narrow" w:hAnsi="Arial Narrow"/>
              </w:rPr>
            </w:pPr>
            <w:r>
              <w:rPr>
                <w:rFonts w:ascii="Arial Narrow" w:hAnsi="Arial Narrow" w:cs="Arial"/>
                <w:b/>
                <w:sz w:val="22"/>
                <w:szCs w:val="22"/>
              </w:rPr>
              <w:t>Action Plan</w:t>
            </w:r>
            <w:r w:rsidRPr="009860CD">
              <w:rPr>
                <w:rFonts w:ascii="Arial Narrow" w:hAnsi="Arial Narrow" w:cs="Arial"/>
                <w:b/>
                <w:sz w:val="22"/>
                <w:szCs w:val="22"/>
              </w:rPr>
              <w:t>/Evidence of Assessment for Objective</w:t>
            </w:r>
            <w:r w:rsidRPr="009860CD">
              <w:rPr>
                <w:rFonts w:ascii="Arial Narrow" w:hAnsi="Arial Narrow" w:cs="Arial"/>
                <w:i/>
                <w:sz w:val="22"/>
                <w:szCs w:val="22"/>
              </w:rPr>
              <w:t xml:space="preserve"> (</w:t>
            </w:r>
            <w:r w:rsidRPr="00431236">
              <w:rPr>
                <w:rFonts w:ascii="Arial Narrow" w:hAnsi="Arial Narrow" w:cs="Arial"/>
                <w:i/>
                <w:sz w:val="20"/>
                <w:szCs w:val="22"/>
              </w:rPr>
              <w:t>Describe the statistic or criteria that measures success in achieving this goal.  What is the desired and/or minimum target you expect</w:t>
            </w:r>
            <w:r w:rsidRPr="00431236">
              <w:rPr>
                <w:rFonts w:ascii="Arial Narrow" w:hAnsi="Arial Narrow" w:cs="Arial"/>
                <w:sz w:val="20"/>
                <w:szCs w:val="22"/>
              </w:rPr>
              <w:t xml:space="preserve">? </w:t>
            </w:r>
            <w:r w:rsidRPr="00431236">
              <w:rPr>
                <w:rFonts w:ascii="Arial Narrow" w:hAnsi="Arial Narrow" w:cs="Arial"/>
                <w:i/>
                <w:sz w:val="20"/>
                <w:szCs w:val="22"/>
              </w:rPr>
              <w:t>What method is used to collect the data for the statistic</w:t>
            </w:r>
            <w:r w:rsidRPr="00431236">
              <w:rPr>
                <w:rFonts w:ascii="Arial Narrow" w:hAnsi="Arial Narrow" w:cs="Arial"/>
                <w:sz w:val="20"/>
                <w:szCs w:val="22"/>
              </w:rPr>
              <w:t>?)</w:t>
            </w:r>
            <w:r w:rsidR="00425DE7">
              <w:rPr>
                <w:rFonts w:ascii="Arial Narrow" w:hAnsi="Arial Narrow" w:cs="Arial"/>
              </w:rPr>
              <w:t xml:space="preserve"> </w:t>
            </w:r>
          </w:p>
        </w:tc>
      </w:tr>
      <w:tr w:rsidR="002C4E27" w:rsidRPr="00431236" w:rsidTr="002C4E27">
        <w:tc>
          <w:tcPr>
            <w:tcW w:w="2424" w:type="pct"/>
            <w:tcBorders>
              <w:top w:val="nil"/>
              <w:left w:val="single" w:sz="4" w:space="0" w:color="auto"/>
              <w:bottom w:val="single" w:sz="4" w:space="0" w:color="auto"/>
              <w:right w:val="nil"/>
            </w:tcBorders>
            <w:shd w:val="clear" w:color="auto" w:fill="F2F2F2" w:themeFill="background1" w:themeFillShade="F2"/>
          </w:tcPr>
          <w:p w:rsidR="00E76928" w:rsidRDefault="00FE3472" w:rsidP="00E76928">
            <w:pPr>
              <w:rPr>
                <w:rFonts w:ascii="Arial Narrow" w:hAnsi="Arial Narrow" w:cs="Arial"/>
              </w:rPr>
            </w:pPr>
            <w:r w:rsidRPr="00431236">
              <w:rPr>
                <w:rFonts w:ascii="Arial Narrow" w:hAnsi="Arial Narrow" w:cs="Arial"/>
                <w:i/>
                <w:sz w:val="20"/>
                <w:szCs w:val="22"/>
              </w:rPr>
              <w:t>Objective</w:t>
            </w:r>
            <w:r w:rsidRPr="00431236">
              <w:rPr>
                <w:rFonts w:ascii="Arial Narrow" w:hAnsi="Arial Narrow" w:cs="Arial"/>
                <w:sz w:val="22"/>
                <w:szCs w:val="22"/>
              </w:rPr>
              <w:t>:</w:t>
            </w:r>
            <w:r w:rsidR="00E76928">
              <w:rPr>
                <w:rFonts w:ascii="Arial Narrow" w:hAnsi="Arial Narrow" w:cs="Arial"/>
                <w:sz w:val="22"/>
                <w:szCs w:val="22"/>
              </w:rPr>
              <w:t xml:space="preserve"> </w:t>
            </w:r>
            <w:r w:rsidR="00E76928">
              <w:rPr>
                <w:rFonts w:ascii="Arial Narrow" w:hAnsi="Arial Narrow" w:cs="Arial"/>
                <w:sz w:val="22"/>
                <w:szCs w:val="22"/>
              </w:rPr>
              <w:t xml:space="preserve">Identify the programs and services available for alumni engagement and establish baseline participation data for each. </w:t>
            </w:r>
          </w:p>
          <w:p w:rsidR="00E76928" w:rsidRDefault="00E76928" w:rsidP="00E76928">
            <w:pPr>
              <w:rPr>
                <w:rFonts w:ascii="Arial Narrow" w:hAnsi="Arial Narrow" w:cs="Arial"/>
              </w:rPr>
            </w:pPr>
          </w:p>
          <w:p w:rsidR="00254735" w:rsidRDefault="00E76928" w:rsidP="00E76928">
            <w:pPr>
              <w:spacing w:after="240"/>
              <w:rPr>
                <w:rFonts w:ascii="Arial Narrow" w:hAnsi="Arial Narrow" w:cs="Arial"/>
              </w:rPr>
            </w:pPr>
            <w:r>
              <w:rPr>
                <w:rFonts w:ascii="Arial Narrow" w:hAnsi="Arial Narrow" w:cs="Arial"/>
                <w:sz w:val="22"/>
                <w:szCs w:val="22"/>
              </w:rPr>
              <w:t>Rationale:  With the discontinuation of the dues-based membership program, it is time to evaluate the programs and services offered by the Alumni Association and alumni involvement in each of these areas.</w:t>
            </w: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2524D0">
              <w:rPr>
                <w:rFonts w:ascii="Arial Narrow" w:hAnsi="Arial Narrow"/>
                <w:sz w:val="20"/>
                <w:szCs w:val="22"/>
                <w:u w:val="single"/>
              </w:rPr>
              <w:t>X</w:t>
            </w:r>
            <w:r w:rsidRPr="00431236">
              <w:rPr>
                <w:rFonts w:ascii="Arial Narrow" w:hAnsi="Arial Narrow"/>
                <w:sz w:val="20"/>
                <w:szCs w:val="22"/>
              </w:rPr>
              <w:t xml:space="preserve"> Satisfaction measure</w:t>
            </w:r>
            <w:r w:rsidR="00F327EA">
              <w:rPr>
                <w:rFonts w:ascii="Arial Narrow" w:hAnsi="Arial Narrow"/>
                <w:sz w:val="20"/>
                <w:szCs w:val="22"/>
              </w:rPr>
              <w:t xml:space="preserve"> </w:t>
            </w:r>
            <w:r w:rsidR="00F327EA" w:rsidRPr="00F327EA">
              <w:rPr>
                <w:rFonts w:ascii="Arial Narrow" w:hAnsi="Arial Narrow"/>
                <w:sz w:val="20"/>
                <w:szCs w:val="22"/>
                <w:u w:val="single"/>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E76928">
              <w:rPr>
                <w:rFonts w:ascii="Arial Narrow" w:hAnsi="Arial Narrow"/>
                <w:i/>
                <w:sz w:val="20"/>
                <w:szCs w:val="20"/>
              </w:rPr>
              <w:t>3</w:t>
            </w:r>
          </w:p>
          <w:p w:rsidR="00C63E27" w:rsidRPr="00C63E27" w:rsidRDefault="00C63E27" w:rsidP="00C63E27">
            <w:pPr>
              <w:pStyle w:val="ListParagraph"/>
              <w:numPr>
                <w:ilvl w:val="0"/>
                <w:numId w:val="2"/>
              </w:numPr>
              <w:ind w:left="360"/>
              <w:rPr>
                <w:rFonts w:ascii="Arial Narrow" w:hAnsi="Arial Narrow"/>
                <w:i/>
                <w:sz w:val="20"/>
                <w:szCs w:val="20"/>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254735" w:rsidRPr="00431236" w:rsidRDefault="00254735" w:rsidP="000A1CAE">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CE01D3" w:rsidRDefault="00D87221" w:rsidP="000A1CAE">
            <w:pPr>
              <w:rPr>
                <w:rFonts w:ascii="Arial Narrow" w:hAnsi="Arial Narrow" w:cs="Arial"/>
              </w:rPr>
            </w:pPr>
            <w:r>
              <w:rPr>
                <w:rFonts w:ascii="Arial Narrow" w:hAnsi="Arial Narrow" w:cs="Arial"/>
                <w:i/>
                <w:sz w:val="20"/>
                <w:szCs w:val="22"/>
              </w:rPr>
              <w:t>Measures</w:t>
            </w:r>
            <w:r w:rsidR="00FE3472" w:rsidRPr="00431236">
              <w:rPr>
                <w:rFonts w:ascii="Arial Narrow" w:hAnsi="Arial Narrow" w:cs="Arial"/>
                <w:sz w:val="22"/>
                <w:szCs w:val="22"/>
              </w:rPr>
              <w:t>:</w:t>
            </w:r>
          </w:p>
          <w:p w:rsidR="00E76928" w:rsidRDefault="00E76928" w:rsidP="00E76928">
            <w:pPr>
              <w:rPr>
                <w:rFonts w:ascii="Arial Narrow" w:hAnsi="Arial Narrow" w:cs="Arial"/>
              </w:rPr>
            </w:pPr>
            <w:r>
              <w:rPr>
                <w:rFonts w:ascii="Arial Narrow" w:hAnsi="Arial Narrow" w:cs="Arial"/>
              </w:rPr>
              <w:t xml:space="preserve">Initial data gathered will provide a baseline to assess current status and develop goals to increase participation and measure satisfaction with programs and services offered by the Alumni Association.  </w:t>
            </w:r>
          </w:p>
          <w:p w:rsidR="00E76928" w:rsidRDefault="00E76928" w:rsidP="00E76928">
            <w:pPr>
              <w:rPr>
                <w:rFonts w:ascii="Arial Narrow" w:hAnsi="Arial Narrow" w:cs="Arial"/>
              </w:rPr>
            </w:pPr>
          </w:p>
          <w:p w:rsidR="00E76928" w:rsidRDefault="00E76928" w:rsidP="00E76928">
            <w:pPr>
              <w:rPr>
                <w:rFonts w:ascii="Arial Narrow" w:hAnsi="Arial Narrow" w:cs="Arial"/>
              </w:rPr>
            </w:pPr>
            <w:r>
              <w:rPr>
                <w:rFonts w:ascii="Arial Narrow" w:hAnsi="Arial Narrow" w:cs="Arial"/>
              </w:rPr>
              <w:t>Data will be collected in such areas as:</w:t>
            </w:r>
          </w:p>
          <w:p w:rsidR="00E76928" w:rsidRPr="001416A0" w:rsidRDefault="00E76928" w:rsidP="00E76928">
            <w:pPr>
              <w:pStyle w:val="ListParagraph"/>
              <w:numPr>
                <w:ilvl w:val="0"/>
                <w:numId w:val="5"/>
              </w:numPr>
              <w:rPr>
                <w:rFonts w:ascii="Arial Narrow" w:hAnsi="Arial Narrow" w:cs="Arial"/>
              </w:rPr>
            </w:pPr>
            <w:r w:rsidRPr="001416A0">
              <w:rPr>
                <w:rFonts w:ascii="Arial Narrow" w:hAnsi="Arial Narrow" w:cs="Arial"/>
              </w:rPr>
              <w:t>Regional activity (# events)</w:t>
            </w:r>
          </w:p>
          <w:p w:rsidR="00E76928" w:rsidRPr="00411E1D" w:rsidRDefault="00E76928" w:rsidP="00E76928">
            <w:pPr>
              <w:pStyle w:val="ListParagraph"/>
              <w:numPr>
                <w:ilvl w:val="0"/>
                <w:numId w:val="5"/>
              </w:numPr>
              <w:rPr>
                <w:rFonts w:ascii="Arial Narrow" w:hAnsi="Arial Narrow" w:cs="Arial"/>
              </w:rPr>
            </w:pPr>
            <w:r w:rsidRPr="001416A0">
              <w:rPr>
                <w:rFonts w:ascii="Arial Narrow" w:hAnsi="Arial Narrow" w:cs="Arial"/>
              </w:rPr>
              <w:t xml:space="preserve"># </w:t>
            </w:r>
            <w:r>
              <w:rPr>
                <w:rFonts w:ascii="Arial Narrow" w:hAnsi="Arial Narrow" w:cs="Arial"/>
              </w:rPr>
              <w:t>E</w:t>
            </w:r>
            <w:r w:rsidRPr="001416A0">
              <w:rPr>
                <w:rFonts w:ascii="Arial Narrow" w:hAnsi="Arial Narrow" w:cs="Arial"/>
              </w:rPr>
              <w:t xml:space="preserve">vents and </w:t>
            </w:r>
            <w:r>
              <w:rPr>
                <w:rFonts w:ascii="Arial Narrow" w:hAnsi="Arial Narrow" w:cs="Arial"/>
              </w:rPr>
              <w:t>E</w:t>
            </w:r>
            <w:r w:rsidRPr="001416A0">
              <w:rPr>
                <w:rFonts w:ascii="Arial Narrow" w:hAnsi="Arial Narrow" w:cs="Arial"/>
              </w:rPr>
              <w:t xml:space="preserve">vent </w:t>
            </w:r>
            <w:r w:rsidRPr="00411E1D">
              <w:rPr>
                <w:rFonts w:ascii="Arial Narrow" w:hAnsi="Arial Narrow" w:cs="Arial"/>
              </w:rPr>
              <w:t>Participation</w:t>
            </w:r>
          </w:p>
          <w:p w:rsidR="00E76928" w:rsidRPr="00425DE7" w:rsidRDefault="00E76928" w:rsidP="00E76928">
            <w:pPr>
              <w:pStyle w:val="ListParagraph"/>
              <w:numPr>
                <w:ilvl w:val="0"/>
                <w:numId w:val="5"/>
              </w:numPr>
              <w:rPr>
                <w:rFonts w:ascii="Arial Narrow" w:hAnsi="Arial Narrow" w:cs="Arial"/>
              </w:rPr>
            </w:pPr>
            <w:r w:rsidRPr="00425DE7">
              <w:rPr>
                <w:rFonts w:ascii="Arial Narrow" w:hAnsi="Arial Narrow" w:cs="Arial"/>
              </w:rPr>
              <w:t>% of Alumni Donors</w:t>
            </w:r>
          </w:p>
          <w:p w:rsidR="00E76928" w:rsidRPr="00425DE7" w:rsidRDefault="00E76928" w:rsidP="00E76928">
            <w:pPr>
              <w:pStyle w:val="ListParagraph"/>
              <w:numPr>
                <w:ilvl w:val="0"/>
                <w:numId w:val="5"/>
              </w:numPr>
              <w:rPr>
                <w:rFonts w:ascii="Arial Narrow" w:hAnsi="Arial Narrow" w:cs="Arial"/>
              </w:rPr>
            </w:pPr>
            <w:r>
              <w:rPr>
                <w:rFonts w:ascii="Arial Narrow" w:hAnsi="Arial Narrow" w:cs="Arial"/>
              </w:rPr>
              <w:t xml:space="preserve"># </w:t>
            </w:r>
            <w:r w:rsidRPr="00425DE7">
              <w:rPr>
                <w:rFonts w:ascii="Arial Narrow" w:hAnsi="Arial Narrow" w:cs="Arial"/>
              </w:rPr>
              <w:t>Alumni</w:t>
            </w:r>
            <w:r>
              <w:rPr>
                <w:rFonts w:ascii="Arial Narrow" w:hAnsi="Arial Narrow" w:cs="Arial"/>
              </w:rPr>
              <w:t xml:space="preserve"> participating in NMUAA social m</w:t>
            </w:r>
            <w:r w:rsidRPr="00425DE7">
              <w:rPr>
                <w:rFonts w:ascii="Arial Narrow" w:hAnsi="Arial Narrow" w:cs="Arial"/>
              </w:rPr>
              <w:t xml:space="preserve">edia </w:t>
            </w:r>
          </w:p>
          <w:p w:rsidR="00E76928" w:rsidRPr="00425DE7" w:rsidRDefault="00E76928" w:rsidP="00E76928">
            <w:pPr>
              <w:pStyle w:val="ListParagraph"/>
              <w:numPr>
                <w:ilvl w:val="0"/>
                <w:numId w:val="5"/>
              </w:numPr>
              <w:rPr>
                <w:rFonts w:ascii="Arial Narrow" w:hAnsi="Arial Narrow" w:cs="Arial"/>
              </w:rPr>
            </w:pPr>
            <w:r>
              <w:rPr>
                <w:rFonts w:ascii="Arial Narrow" w:hAnsi="Arial Narrow" w:cs="Arial"/>
              </w:rPr>
              <w:t># Alumni E-newsletter s</w:t>
            </w:r>
            <w:r w:rsidRPr="00425DE7">
              <w:rPr>
                <w:rFonts w:ascii="Arial Narrow" w:hAnsi="Arial Narrow" w:cs="Arial"/>
              </w:rPr>
              <w:t>ubscribers</w:t>
            </w:r>
          </w:p>
          <w:p w:rsidR="00E76928" w:rsidRDefault="00E76928" w:rsidP="00E76928">
            <w:pPr>
              <w:pStyle w:val="ListParagraph"/>
              <w:numPr>
                <w:ilvl w:val="0"/>
                <w:numId w:val="5"/>
              </w:numPr>
              <w:rPr>
                <w:rFonts w:ascii="Arial Narrow" w:hAnsi="Arial Narrow" w:cs="Arial"/>
              </w:rPr>
            </w:pPr>
            <w:r>
              <w:rPr>
                <w:rFonts w:ascii="Arial Narrow" w:hAnsi="Arial Narrow" w:cs="Arial"/>
              </w:rPr>
              <w:t># Alumni E-mail for Life s</w:t>
            </w:r>
            <w:r w:rsidRPr="00425DE7">
              <w:rPr>
                <w:rFonts w:ascii="Arial Narrow" w:hAnsi="Arial Narrow" w:cs="Arial"/>
              </w:rPr>
              <w:t>ubscribers</w:t>
            </w:r>
          </w:p>
          <w:p w:rsidR="00E76928" w:rsidRDefault="00E76928" w:rsidP="00E76928">
            <w:pPr>
              <w:pStyle w:val="ListParagraph"/>
              <w:numPr>
                <w:ilvl w:val="0"/>
                <w:numId w:val="5"/>
              </w:numPr>
              <w:rPr>
                <w:rFonts w:ascii="Arial Narrow" w:hAnsi="Arial Narrow" w:cs="Arial"/>
              </w:rPr>
            </w:pPr>
            <w:r>
              <w:rPr>
                <w:rFonts w:ascii="Arial Narrow" w:hAnsi="Arial Narrow" w:cs="Arial"/>
              </w:rPr>
              <w:t># of Visitors to NMUAA web site</w:t>
            </w:r>
          </w:p>
          <w:p w:rsidR="00E76928" w:rsidRDefault="00E76928" w:rsidP="00E76928">
            <w:pPr>
              <w:pStyle w:val="ListParagraph"/>
              <w:numPr>
                <w:ilvl w:val="0"/>
                <w:numId w:val="5"/>
              </w:numPr>
              <w:rPr>
                <w:rFonts w:ascii="Arial Narrow" w:hAnsi="Arial Narrow" w:cs="Arial"/>
              </w:rPr>
            </w:pPr>
            <w:r>
              <w:rPr>
                <w:rFonts w:ascii="Arial Narrow" w:hAnsi="Arial Narrow" w:cs="Arial"/>
              </w:rPr>
              <w:t># of Alumni updating address via web</w:t>
            </w:r>
          </w:p>
          <w:p w:rsidR="00E76928" w:rsidRPr="00425DE7" w:rsidRDefault="00E76928" w:rsidP="00E76928">
            <w:pPr>
              <w:pStyle w:val="ListParagraph"/>
              <w:numPr>
                <w:ilvl w:val="0"/>
                <w:numId w:val="5"/>
              </w:numPr>
              <w:rPr>
                <w:rFonts w:ascii="Arial Narrow" w:hAnsi="Arial Narrow" w:cs="Arial"/>
              </w:rPr>
            </w:pPr>
            <w:r>
              <w:rPr>
                <w:rFonts w:ascii="Arial Narrow" w:hAnsi="Arial Narrow" w:cs="Arial"/>
              </w:rPr>
              <w:t># of Alumni utilizing online “membership card” option</w:t>
            </w:r>
          </w:p>
          <w:p w:rsidR="00E76928" w:rsidRDefault="00E76928" w:rsidP="00E76928">
            <w:pPr>
              <w:rPr>
                <w:rFonts w:ascii="Arial Narrow" w:hAnsi="Arial Narrow"/>
              </w:rPr>
            </w:pPr>
          </w:p>
          <w:p w:rsidR="00254735" w:rsidRPr="00E76928" w:rsidRDefault="00E76928" w:rsidP="000A1CAE">
            <w:pPr>
              <w:rPr>
                <w:rFonts w:ascii="Arial Narrow" w:hAnsi="Arial Narrow" w:cs="Arial"/>
              </w:rPr>
            </w:pPr>
            <w:r>
              <w:rPr>
                <w:rFonts w:ascii="Arial Narrow" w:hAnsi="Arial Narrow"/>
              </w:rPr>
              <w:t xml:space="preserve">Data will be collected by pulling reports from respective databases, event registration records, and web/email analytics tools.  </w:t>
            </w:r>
          </w:p>
        </w:tc>
      </w:tr>
      <w:tr w:rsidR="002C4E27" w:rsidRPr="009860CD" w:rsidTr="002C4E27">
        <w:tc>
          <w:tcPr>
            <w:tcW w:w="2424" w:type="pct"/>
            <w:tcBorders>
              <w:top w:val="single" w:sz="4" w:space="0" w:color="auto"/>
              <w:left w:val="nil"/>
              <w:bottom w:val="single" w:sz="4" w:space="0" w:color="auto"/>
              <w:right w:val="nil"/>
            </w:tcBorders>
          </w:tcPr>
          <w:p w:rsidR="00A07684" w:rsidRPr="009860CD" w:rsidRDefault="00A07684" w:rsidP="00425DE7">
            <w:pPr>
              <w:spacing w:before="240"/>
              <w:rPr>
                <w:rFonts w:ascii="Arial Narrow" w:hAnsi="Arial Narrow" w:cs="Arial"/>
                <w:b/>
              </w:rPr>
            </w:pPr>
            <w:r>
              <w:rPr>
                <w:rFonts w:ascii="Arial Narrow" w:hAnsi="Arial Narrow" w:cs="Arial"/>
                <w:b/>
                <w:sz w:val="22"/>
                <w:szCs w:val="22"/>
              </w:rPr>
              <w:t>Assessment Report</w:t>
            </w:r>
          </w:p>
        </w:tc>
        <w:tc>
          <w:tcPr>
            <w:tcW w:w="129" w:type="pct"/>
            <w:tcBorders>
              <w:top w:val="single" w:sz="4" w:space="0" w:color="auto"/>
              <w:left w:val="nil"/>
              <w:bottom w:val="single" w:sz="4" w:space="0" w:color="auto"/>
              <w:right w:val="nil"/>
            </w:tcBorders>
          </w:tcPr>
          <w:p w:rsidR="00A07684" w:rsidRPr="009860CD" w:rsidRDefault="00A07684" w:rsidP="00425DE7">
            <w:pPr>
              <w:rPr>
                <w:rFonts w:ascii="Arial Narrow" w:hAnsi="Arial Narrow" w:cs="Arial"/>
              </w:rPr>
            </w:pPr>
          </w:p>
        </w:tc>
        <w:tc>
          <w:tcPr>
            <w:tcW w:w="2447" w:type="pct"/>
            <w:gridSpan w:val="2"/>
            <w:tcBorders>
              <w:top w:val="single" w:sz="4" w:space="0" w:color="auto"/>
              <w:left w:val="nil"/>
              <w:bottom w:val="single" w:sz="4" w:space="0" w:color="auto"/>
              <w:right w:val="nil"/>
            </w:tcBorders>
          </w:tcPr>
          <w:p w:rsidR="00A07684" w:rsidRDefault="00A07684" w:rsidP="00425DE7">
            <w:pPr>
              <w:rPr>
                <w:rFonts w:ascii="Arial Narrow" w:hAnsi="Arial Narrow" w:cs="Arial"/>
                <w:b/>
              </w:rPr>
            </w:pPr>
          </w:p>
        </w:tc>
      </w:tr>
      <w:tr w:rsidR="002C4E27" w:rsidRPr="009860CD" w:rsidTr="002C4E27">
        <w:tc>
          <w:tcPr>
            <w:tcW w:w="2424" w:type="pct"/>
            <w:tcBorders>
              <w:top w:val="single" w:sz="4" w:space="0" w:color="auto"/>
              <w:left w:val="single" w:sz="4" w:space="0" w:color="auto"/>
              <w:bottom w:val="nil"/>
              <w:right w:val="nil"/>
            </w:tcBorders>
          </w:tcPr>
          <w:p w:rsidR="00A07684" w:rsidRPr="00FE3472" w:rsidRDefault="00A07684" w:rsidP="00425DE7">
            <w:pPr>
              <w:spacing w:after="120"/>
              <w:ind w:right="-162"/>
              <w:rPr>
                <w:rFonts w:ascii="Arial Narrow" w:hAnsi="Arial Narrow" w:cs="Arial"/>
                <w:i/>
              </w:rPr>
            </w:pPr>
            <w:r w:rsidRPr="009860CD">
              <w:rPr>
                <w:rFonts w:ascii="Arial Narrow" w:hAnsi="Arial Narrow" w:cs="Arial"/>
                <w:b/>
                <w:sz w:val="22"/>
                <w:szCs w:val="22"/>
              </w:rPr>
              <w:t xml:space="preserve">Summary of Data Collected </w:t>
            </w:r>
            <w:r w:rsidRPr="009860CD">
              <w:rPr>
                <w:rFonts w:ascii="Arial Narrow" w:hAnsi="Arial Narrow" w:cs="Arial"/>
                <w:i/>
                <w:sz w:val="22"/>
                <w:szCs w:val="22"/>
              </w:rPr>
              <w:t>(</w:t>
            </w:r>
            <w:r w:rsidRPr="00431236">
              <w:rPr>
                <w:rFonts w:ascii="Arial Narrow" w:hAnsi="Arial Narrow" w:cs="Arial"/>
                <w:i/>
                <w:sz w:val="20"/>
                <w:szCs w:val="22"/>
              </w:rPr>
              <w:t>Provide trend data and s</w:t>
            </w:r>
            <w:r w:rsidR="00CD1909">
              <w:rPr>
                <w:rFonts w:ascii="Arial Narrow" w:hAnsi="Arial Narrow" w:cs="Arial"/>
                <w:i/>
                <w:sz w:val="20"/>
                <w:szCs w:val="22"/>
              </w:rPr>
              <w:t>ummary</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DE7">
            <w:pPr>
              <w:spacing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DE7">
            <w:pPr>
              <w:spacing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r w:rsidR="00CD1909">
              <w:rPr>
                <w:rFonts w:ascii="Arial Narrow" w:hAnsi="Arial Narrow" w:cs="Arial"/>
                <w:b/>
                <w:sz w:val="22"/>
                <w:szCs w:val="22"/>
              </w:rPr>
              <w:t xml:space="preserve"> </w:t>
            </w:r>
            <w:r w:rsidR="00CD1909" w:rsidRPr="00243670">
              <w:rPr>
                <w:rFonts w:ascii="Arial Narrow" w:hAnsi="Arial Narrow" w:cs="Arial"/>
                <w:i/>
                <w:sz w:val="20"/>
                <w:szCs w:val="22"/>
              </w:rPr>
              <w:t>(Offers conclusions or interpretation and explains how data was used to make changes for improvement as related to the objective)</w:t>
            </w:r>
          </w:p>
        </w:tc>
      </w:tr>
      <w:tr w:rsidR="007C53D1"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7C53D1" w:rsidP="00431236">
            <w:pPr>
              <w:rPr>
                <w:rFonts w:ascii="Arial Narrow" w:hAnsi="Arial Narrow"/>
              </w:rPr>
            </w:pPr>
            <w:r w:rsidRPr="009860CD">
              <w:rPr>
                <w:rFonts w:ascii="Arial Narrow" w:hAnsi="Arial Narrow"/>
                <w:sz w:val="22"/>
                <w:szCs w:val="22"/>
              </w:rPr>
              <w:t>(Fill</w:t>
            </w:r>
            <w:r w:rsidR="00431236">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431236" w:rsidP="00431236">
            <w:pPr>
              <w:rPr>
                <w:rFonts w:ascii="Arial Narrow" w:hAnsi="Arial Narrow"/>
              </w:rPr>
            </w:pPr>
            <w:r>
              <w:rPr>
                <w:rFonts w:ascii="Arial Narrow" w:hAnsi="Arial Narrow"/>
                <w:sz w:val="22"/>
                <w:szCs w:val="22"/>
              </w:rPr>
              <w:t>(Fill this cell</w:t>
            </w:r>
            <w:r w:rsidR="007C53D1" w:rsidRPr="009860CD">
              <w:rPr>
                <w:rFonts w:ascii="Arial Narrow" w:hAnsi="Arial Narrow"/>
                <w:sz w:val="22"/>
                <w:szCs w:val="22"/>
              </w:rPr>
              <w:t xml:space="preserve"> only for the REPORT at the end of the year.)</w:t>
            </w:r>
          </w:p>
        </w:tc>
      </w:tr>
      <w:tr w:rsidR="00A07684" w:rsidRPr="009860CD" w:rsidTr="002C4E27">
        <w:tc>
          <w:tcPr>
            <w:tcW w:w="2424" w:type="pct"/>
            <w:tcBorders>
              <w:top w:val="nil"/>
              <w:left w:val="nil"/>
              <w:bottom w:val="single" w:sz="4" w:space="0" w:color="auto"/>
              <w:right w:val="nil"/>
            </w:tcBorders>
          </w:tcPr>
          <w:p w:rsidR="00A07684" w:rsidRPr="009860CD" w:rsidRDefault="00A07684" w:rsidP="00425DE7">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DE7">
            <w:pPr>
              <w:spacing w:before="240"/>
              <w:rPr>
                <w:rFonts w:ascii="Arial Narrow" w:hAnsi="Arial Narrow" w:cs="Arial"/>
              </w:rPr>
            </w:pPr>
          </w:p>
        </w:tc>
        <w:tc>
          <w:tcPr>
            <w:tcW w:w="2447" w:type="pct"/>
            <w:gridSpan w:val="2"/>
            <w:tcBorders>
              <w:top w:val="nil"/>
              <w:left w:val="nil"/>
              <w:bottom w:val="single" w:sz="4" w:space="0" w:color="auto"/>
              <w:right w:val="nil"/>
            </w:tcBorders>
          </w:tcPr>
          <w:p w:rsidR="00A07684" w:rsidRDefault="00A07684" w:rsidP="00425DE7">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B732C3" w:rsidRPr="00B732C3" w:rsidRDefault="00A07684" w:rsidP="00E76928">
            <w:pPr>
              <w:rPr>
                <w:rFonts w:ascii="Arial Narrow" w:hAnsi="Arial Narrow" w:cs="Arial"/>
              </w:rPr>
            </w:pPr>
            <w:r w:rsidRPr="009860CD">
              <w:rPr>
                <w:rFonts w:ascii="Arial Narrow" w:hAnsi="Arial Narrow" w:cs="Arial"/>
                <w:b/>
                <w:sz w:val="22"/>
                <w:szCs w:val="22"/>
              </w:rPr>
              <w:t>Administrative Objective #2</w:t>
            </w:r>
            <w:r w:rsidR="00B732C3">
              <w:rPr>
                <w:rFonts w:ascii="Arial Narrow" w:hAnsi="Arial Narrow" w:cs="Arial"/>
                <w:b/>
                <w:sz w:val="22"/>
                <w:szCs w:val="22"/>
              </w:rPr>
              <w:t xml:space="preserve">  </w:t>
            </w:r>
          </w:p>
        </w:tc>
        <w:tc>
          <w:tcPr>
            <w:tcW w:w="129" w:type="pct"/>
            <w:tcBorders>
              <w:top w:val="single" w:sz="4" w:space="0" w:color="auto"/>
              <w:left w:val="nil"/>
              <w:bottom w:val="nil"/>
              <w:right w:val="nil"/>
            </w:tcBorders>
          </w:tcPr>
          <w:p w:rsidR="00A07684" w:rsidRPr="009860CD" w:rsidRDefault="00A07684" w:rsidP="00425DE7">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DE7">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9860CD" w:rsidRDefault="00E76928" w:rsidP="0036346B">
            <w:pPr>
              <w:rPr>
                <w:rFonts w:ascii="Arial Narrow" w:hAnsi="Arial Narrow"/>
              </w:rPr>
            </w:pPr>
            <w:r>
              <w:rPr>
                <w:rFonts w:ascii="Arial Narrow" w:hAnsi="Arial Narrow"/>
                <w:i/>
                <w:sz w:val="20"/>
                <w:szCs w:val="22"/>
              </w:rPr>
              <w:t>O</w:t>
            </w:r>
            <w:r w:rsidR="007C53D1" w:rsidRPr="00431236">
              <w:rPr>
                <w:rFonts w:ascii="Arial Narrow" w:hAnsi="Arial Narrow"/>
                <w:i/>
                <w:sz w:val="20"/>
                <w:szCs w:val="22"/>
              </w:rPr>
              <w:t>bjective</w:t>
            </w:r>
            <w:r w:rsidR="007C53D1" w:rsidRPr="009860CD">
              <w:rPr>
                <w:rFonts w:ascii="Arial Narrow" w:hAnsi="Arial Narrow"/>
                <w:sz w:val="22"/>
                <w:szCs w:val="22"/>
              </w:rPr>
              <w:t>:</w:t>
            </w:r>
          </w:p>
          <w:p w:rsidR="00E15313" w:rsidRDefault="00E15313" w:rsidP="00E15313">
            <w:pPr>
              <w:rPr>
                <w:rFonts w:ascii="Arial Narrow" w:hAnsi="Arial Narrow" w:cs="Arial"/>
              </w:rPr>
            </w:pPr>
            <w:r>
              <w:rPr>
                <w:rFonts w:ascii="Arial Narrow" w:hAnsi="Arial Narrow" w:cs="Arial"/>
                <w:sz w:val="22"/>
                <w:szCs w:val="22"/>
              </w:rPr>
              <w:t xml:space="preserve">Develop a process to convert former NMU Alumni Association dues paying members (3,000+) to NMU Alumni Association </w:t>
            </w:r>
            <w:r>
              <w:rPr>
                <w:rFonts w:ascii="Arial Narrow" w:hAnsi="Arial Narrow" w:cs="Arial"/>
                <w:sz w:val="22"/>
                <w:szCs w:val="22"/>
              </w:rPr>
              <w:lastRenderedPageBreak/>
              <w:t>donors.</w:t>
            </w:r>
          </w:p>
          <w:p w:rsidR="00A93CF5" w:rsidRDefault="00A93CF5" w:rsidP="00E15313">
            <w:pPr>
              <w:rPr>
                <w:rFonts w:ascii="Arial Narrow" w:hAnsi="Arial Narrow" w:cs="Arial"/>
              </w:rPr>
            </w:pPr>
          </w:p>
          <w:p w:rsidR="007C53D1" w:rsidRDefault="00E15313" w:rsidP="00E15313">
            <w:pPr>
              <w:rPr>
                <w:rFonts w:ascii="Arial Narrow" w:hAnsi="Arial Narrow" w:cs="Arial"/>
              </w:rPr>
            </w:pPr>
            <w:r>
              <w:rPr>
                <w:rFonts w:ascii="Arial Narrow" w:hAnsi="Arial Narrow" w:cs="Arial"/>
                <w:sz w:val="22"/>
                <w:szCs w:val="22"/>
              </w:rPr>
              <w:t>Target Goal for FY13:  $24,000 in gift support</w:t>
            </w:r>
          </w:p>
          <w:p w:rsidR="00A93CF5" w:rsidRDefault="00A93CF5" w:rsidP="00E15313">
            <w:pPr>
              <w:rPr>
                <w:rFonts w:ascii="Arial Narrow" w:hAnsi="Arial Narrow" w:cs="Arial"/>
              </w:rPr>
            </w:pPr>
          </w:p>
          <w:p w:rsidR="00B33479" w:rsidRPr="009860CD" w:rsidRDefault="00B33479" w:rsidP="0036346B">
            <w:pPr>
              <w:rPr>
                <w:rFonts w:ascii="Arial Narrow" w:hAnsi="Arial Narrow"/>
              </w:rPr>
            </w:pPr>
          </w:p>
          <w:p w:rsidR="007C53D1" w:rsidRPr="00431236" w:rsidRDefault="007C53D1" w:rsidP="0036346B">
            <w:pPr>
              <w:rPr>
                <w:rFonts w:ascii="Arial Narrow" w:hAnsi="Arial Narrow"/>
              </w:rPr>
            </w:pPr>
            <w:r w:rsidRPr="00431236">
              <w:rPr>
                <w:rFonts w:ascii="Arial Narrow" w:hAnsi="Arial Narrow"/>
                <w:i/>
                <w:sz w:val="20"/>
                <w:szCs w:val="22"/>
              </w:rPr>
              <w:t>Rationale</w:t>
            </w:r>
            <w:r w:rsidR="0078704B" w:rsidRPr="00431236">
              <w:rPr>
                <w:rFonts w:ascii="Arial Narrow" w:hAnsi="Arial Narrow"/>
                <w:i/>
                <w:sz w:val="20"/>
                <w:szCs w:val="22"/>
              </w:rPr>
              <w:t xml:space="preserve"> </w:t>
            </w:r>
            <w:r w:rsidRPr="00431236">
              <w:rPr>
                <w:rFonts w:ascii="Arial Narrow" w:hAnsi="Arial Narrow"/>
                <w:i/>
                <w:sz w:val="20"/>
                <w:szCs w:val="22"/>
              </w:rPr>
              <w:t>(</w:t>
            </w:r>
            <w:r w:rsidR="0078704B" w:rsidRPr="00431236">
              <w:rPr>
                <w:rFonts w:ascii="Arial Narrow" w:hAnsi="Arial Narrow"/>
                <w:i/>
                <w:sz w:val="20"/>
                <w:szCs w:val="22"/>
              </w:rPr>
              <w:t>W</w:t>
            </w:r>
            <w:r w:rsidRPr="00431236">
              <w:rPr>
                <w:rFonts w:ascii="Arial Narrow" w:hAnsi="Arial Narrow"/>
                <w:i/>
                <w:sz w:val="20"/>
                <w:szCs w:val="22"/>
              </w:rPr>
              <w:t>hy you are setting this objective</w:t>
            </w:r>
            <w:r w:rsidR="0078704B" w:rsidRPr="00431236">
              <w:rPr>
                <w:rFonts w:ascii="Arial Narrow" w:hAnsi="Arial Narrow"/>
                <w:i/>
                <w:sz w:val="20"/>
                <w:szCs w:val="22"/>
              </w:rPr>
              <w:t xml:space="preserve">; </w:t>
            </w:r>
            <w:r w:rsidR="00122E20" w:rsidRPr="00431236">
              <w:rPr>
                <w:rFonts w:ascii="Arial Narrow" w:hAnsi="Arial Narrow"/>
                <w:i/>
                <w:sz w:val="20"/>
                <w:szCs w:val="22"/>
              </w:rPr>
              <w:t>mark with “X”</w:t>
            </w:r>
            <w:r w:rsidRPr="00431236">
              <w:rPr>
                <w:rFonts w:ascii="Arial Narrow" w:hAnsi="Arial Narrow"/>
                <w:i/>
                <w:sz w:val="20"/>
                <w:szCs w:val="22"/>
              </w:rPr>
              <w:t>)</w:t>
            </w:r>
            <w:r w:rsidRPr="00431236">
              <w:rPr>
                <w:rFonts w:ascii="Arial Narrow" w:hAnsi="Arial Narrow"/>
                <w:sz w:val="20"/>
                <w:szCs w:val="22"/>
              </w:rPr>
              <w:t>:</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Effectiveness/quality action </w:t>
            </w:r>
            <w:r w:rsidRPr="00431236">
              <w:rPr>
                <w:rFonts w:ascii="Arial Narrow" w:hAnsi="Arial Narrow"/>
                <w:sz w:val="20"/>
                <w:szCs w:val="22"/>
                <w:u w:val="single"/>
              </w:rPr>
              <w:sym w:font="Symbol" w:char="F092"/>
            </w:r>
            <w:r w:rsidRPr="00431236">
              <w:rPr>
                <w:rFonts w:ascii="Arial Narrow" w:hAnsi="Arial Narrow"/>
                <w:sz w:val="20"/>
                <w:szCs w:val="22"/>
              </w:rPr>
              <w:t xml:space="preserve"> Efficiency/cost action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A93CF5">
              <w:rPr>
                <w:rFonts w:ascii="Arial Narrow" w:hAnsi="Arial Narrow"/>
                <w:sz w:val="20"/>
                <w:szCs w:val="22"/>
                <w:u w:val="single"/>
              </w:rPr>
              <w:t>X</w:t>
            </w:r>
            <w:r w:rsidRPr="00431236">
              <w:rPr>
                <w:rFonts w:ascii="Arial Narrow" w:hAnsi="Arial Narrow"/>
                <w:sz w:val="20"/>
                <w:szCs w:val="22"/>
              </w:rPr>
              <w:t xml:space="preserve"> Satisfaction measure </w:t>
            </w:r>
            <w:r w:rsidR="00A93CF5">
              <w:rPr>
                <w:rFonts w:ascii="Arial Narrow" w:hAnsi="Arial Narrow"/>
                <w:sz w:val="20"/>
                <w:szCs w:val="22"/>
              </w:rPr>
              <w:t xml:space="preserve">X </w:t>
            </w:r>
            <w:r w:rsidRPr="00431236">
              <w:rPr>
                <w:rFonts w:ascii="Arial Narrow" w:hAnsi="Arial Narrow"/>
                <w:sz w:val="20"/>
                <w:szCs w:val="22"/>
              </w:rPr>
              <w:t xml:space="preserve"> Create baseline  </w:t>
            </w:r>
          </w:p>
          <w:p w:rsidR="007C53D1" w:rsidRPr="00431236" w:rsidRDefault="007C53D1" w:rsidP="0036346B">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7C53D1" w:rsidRPr="009860CD" w:rsidRDefault="007C53D1" w:rsidP="0036346B">
            <w:pPr>
              <w:rPr>
                <w:rFonts w:ascii="Arial Narrow" w:hAnsi="Arial Narrow"/>
              </w:rPr>
            </w:pPr>
          </w:p>
          <w:p w:rsidR="00431236" w:rsidRPr="00C63E27" w:rsidRDefault="00C63E27" w:rsidP="00C63E27">
            <w:pPr>
              <w:rPr>
                <w:rFonts w:ascii="Arial Narrow" w:hAnsi="Arial Narrow"/>
                <w:i/>
                <w:sz w:val="20"/>
                <w:szCs w:val="20"/>
              </w:rPr>
            </w:pPr>
            <w:r>
              <w:rPr>
                <w:rFonts w:ascii="Arial Narrow" w:hAnsi="Arial Narrow"/>
                <w:i/>
                <w:sz w:val="20"/>
                <w:szCs w:val="20"/>
              </w:rPr>
              <w:t xml:space="preserve">Alignment </w:t>
            </w:r>
            <w:r w:rsidR="00431236" w:rsidRPr="00C63E27">
              <w:rPr>
                <w:rFonts w:ascii="Arial Narrow" w:hAnsi="Arial Narrow"/>
                <w:i/>
                <w:sz w:val="20"/>
                <w:szCs w:val="20"/>
              </w:rPr>
              <w:t>(Refer to last pages)</w:t>
            </w:r>
          </w:p>
          <w:p w:rsidR="00431236" w:rsidRPr="00C63E27" w:rsidRDefault="00431236" w:rsidP="00C63E27">
            <w:pPr>
              <w:pStyle w:val="ListParagraph"/>
              <w:numPr>
                <w:ilvl w:val="0"/>
                <w:numId w:val="3"/>
              </w:numPr>
              <w:ind w:left="360"/>
              <w:rPr>
                <w:rFonts w:ascii="Arial Narrow" w:hAnsi="Arial Narrow"/>
                <w:i/>
                <w:sz w:val="20"/>
                <w:szCs w:val="20"/>
              </w:rPr>
            </w:pPr>
            <w:r w:rsidRPr="00C63E27">
              <w:rPr>
                <w:rFonts w:ascii="Arial Narrow" w:hAnsi="Arial Narrow"/>
                <w:i/>
                <w:sz w:val="20"/>
                <w:szCs w:val="20"/>
              </w:rPr>
              <w:t xml:space="preserve">Which AQIP category does this address? </w:t>
            </w:r>
            <w:r w:rsidR="00E76928">
              <w:rPr>
                <w:rFonts w:ascii="Arial Narrow" w:hAnsi="Arial Narrow"/>
                <w:i/>
                <w:sz w:val="20"/>
                <w:szCs w:val="20"/>
              </w:rPr>
              <w:t>3</w:t>
            </w:r>
          </w:p>
          <w:p w:rsidR="007C53D1" w:rsidRPr="00C63E27" w:rsidRDefault="0078704B" w:rsidP="00C63E27">
            <w:pPr>
              <w:pStyle w:val="ListParagraph"/>
              <w:numPr>
                <w:ilvl w:val="0"/>
                <w:numId w:val="3"/>
              </w:numPr>
              <w:ind w:left="360"/>
              <w:rPr>
                <w:rFonts w:ascii="Arial Narrow" w:hAnsi="Arial Narrow"/>
              </w:rPr>
            </w:pPr>
            <w:r w:rsidRPr="00C63E27">
              <w:rPr>
                <w:rFonts w:ascii="Arial Narrow" w:hAnsi="Arial Narrow"/>
                <w:i/>
                <w:sz w:val="20"/>
                <w:szCs w:val="20"/>
              </w:rPr>
              <w:t>Does</w:t>
            </w:r>
            <w:r w:rsidR="00055B6F" w:rsidRPr="00C63E27">
              <w:rPr>
                <w:rFonts w:ascii="Arial Narrow" w:hAnsi="Arial Narrow"/>
                <w:i/>
                <w:sz w:val="20"/>
                <w:szCs w:val="20"/>
              </w:rPr>
              <w:t xml:space="preserve"> this </w:t>
            </w:r>
            <w:r w:rsidRPr="00C63E27">
              <w:rPr>
                <w:rFonts w:ascii="Arial Narrow" w:hAnsi="Arial Narrow"/>
                <w:i/>
                <w:sz w:val="20"/>
                <w:szCs w:val="20"/>
              </w:rPr>
              <w:t>objective relate</w:t>
            </w:r>
            <w:r w:rsidR="00055B6F" w:rsidRPr="00C63E27">
              <w:rPr>
                <w:rFonts w:ascii="Arial Narrow" w:hAnsi="Arial Narrow"/>
                <w:i/>
                <w:sz w:val="20"/>
                <w:szCs w:val="20"/>
              </w:rPr>
              <w:t xml:space="preserve"> to a Road Map goal? If yes, type the related Road Map codes here</w:t>
            </w:r>
            <w:r w:rsidR="00055B6F" w:rsidRPr="00C63E27">
              <w:rPr>
                <w:rFonts w:ascii="Arial Narrow" w:hAnsi="Arial Narrow"/>
                <w:sz w:val="20"/>
                <w:szCs w:val="20"/>
              </w:rPr>
              <w:t>:</w:t>
            </w:r>
            <w:r w:rsidR="00055B6F"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7C53D1" w:rsidRPr="009860CD" w:rsidRDefault="00A93CF5" w:rsidP="00A93CF5">
            <w:pPr>
              <w:pStyle w:val="Default"/>
              <w:numPr>
                <w:ilvl w:val="0"/>
                <w:numId w:val="6"/>
              </w:numPr>
              <w:rPr>
                <w:rFonts w:ascii="Arial Narrow" w:hAnsi="Arial Narrow" w:cs="Arial"/>
                <w:sz w:val="22"/>
                <w:szCs w:val="22"/>
              </w:rPr>
            </w:pPr>
            <w:r>
              <w:rPr>
                <w:rFonts w:ascii="Arial Narrow" w:hAnsi="Arial Narrow" w:cs="Arial"/>
                <w:sz w:val="22"/>
                <w:szCs w:val="22"/>
              </w:rPr>
              <w:t>Identify former dues-payers to solicit for gift to NMU Alumni Association by November 1, 2012.</w:t>
            </w:r>
          </w:p>
          <w:p w:rsidR="007C53D1" w:rsidRPr="009860CD" w:rsidRDefault="00A93CF5" w:rsidP="00A93CF5">
            <w:pPr>
              <w:pStyle w:val="Default"/>
              <w:numPr>
                <w:ilvl w:val="0"/>
                <w:numId w:val="6"/>
              </w:numPr>
              <w:rPr>
                <w:rFonts w:ascii="Arial Narrow" w:hAnsi="Arial Narrow" w:cs="Arial"/>
                <w:sz w:val="22"/>
                <w:szCs w:val="22"/>
              </w:rPr>
            </w:pPr>
            <w:r>
              <w:rPr>
                <w:rFonts w:ascii="Arial Narrow" w:hAnsi="Arial Narrow" w:cs="Arial"/>
                <w:sz w:val="22"/>
                <w:szCs w:val="22"/>
              </w:rPr>
              <w:lastRenderedPageBreak/>
              <w:t>Research best method to solicit (direct mail, email, telephone) by November 1, 2012.</w:t>
            </w:r>
          </w:p>
          <w:p w:rsidR="007C53D1" w:rsidRDefault="00A93CF5" w:rsidP="00A93CF5">
            <w:pPr>
              <w:pStyle w:val="Default"/>
              <w:numPr>
                <w:ilvl w:val="0"/>
                <w:numId w:val="6"/>
              </w:numPr>
              <w:rPr>
                <w:rFonts w:ascii="Arial Narrow" w:hAnsi="Arial Narrow" w:cs="Arial"/>
                <w:sz w:val="22"/>
                <w:szCs w:val="22"/>
              </w:rPr>
            </w:pPr>
            <w:r>
              <w:rPr>
                <w:rFonts w:ascii="Arial Narrow" w:hAnsi="Arial Narrow" w:cs="Arial"/>
                <w:sz w:val="22"/>
                <w:szCs w:val="22"/>
              </w:rPr>
              <w:t>Prepare (including solicitation code for tracking purposes) and conduct solicitation by November 30, 2012.</w:t>
            </w:r>
          </w:p>
          <w:p w:rsidR="00A93CF5" w:rsidRDefault="00A93CF5" w:rsidP="00A93CF5">
            <w:pPr>
              <w:pStyle w:val="Default"/>
              <w:numPr>
                <w:ilvl w:val="0"/>
                <w:numId w:val="6"/>
              </w:numPr>
              <w:rPr>
                <w:rFonts w:ascii="Arial Narrow" w:hAnsi="Arial Narrow" w:cs="Arial"/>
                <w:sz w:val="22"/>
                <w:szCs w:val="22"/>
              </w:rPr>
            </w:pPr>
            <w:r>
              <w:rPr>
                <w:rFonts w:ascii="Arial Narrow" w:hAnsi="Arial Narrow" w:cs="Arial"/>
                <w:sz w:val="22"/>
                <w:szCs w:val="22"/>
              </w:rPr>
              <w:t>Process gift responses through remainder of FY13.</w:t>
            </w:r>
          </w:p>
          <w:p w:rsidR="00A93CF5" w:rsidRPr="009860CD" w:rsidRDefault="00A93CF5" w:rsidP="00A93CF5">
            <w:pPr>
              <w:pStyle w:val="Default"/>
              <w:numPr>
                <w:ilvl w:val="0"/>
                <w:numId w:val="6"/>
              </w:numPr>
              <w:rPr>
                <w:rFonts w:ascii="Arial Narrow" w:hAnsi="Arial Narrow" w:cs="Arial"/>
                <w:sz w:val="22"/>
                <w:szCs w:val="22"/>
              </w:rPr>
            </w:pPr>
            <w:r>
              <w:rPr>
                <w:rFonts w:ascii="Arial Narrow" w:hAnsi="Arial Narrow" w:cs="Arial"/>
                <w:sz w:val="22"/>
                <w:szCs w:val="22"/>
              </w:rPr>
              <w:t>Determine response rate/success based on gifts received through June 30, 2013.</w:t>
            </w:r>
          </w:p>
          <w:p w:rsidR="007C53D1" w:rsidRPr="00B33479" w:rsidRDefault="007C53D1" w:rsidP="0036346B">
            <w:pPr>
              <w:pStyle w:val="Default"/>
              <w:rPr>
                <w:rFonts w:ascii="Arial Narrow" w:hAnsi="Arial Narrow" w:cs="Arial"/>
                <w:sz w:val="22"/>
                <w:szCs w:val="22"/>
              </w:rPr>
            </w:pPr>
          </w:p>
          <w:p w:rsidR="00B33479" w:rsidRPr="00B33479" w:rsidRDefault="00B33479" w:rsidP="00B33479">
            <w:pPr>
              <w:pStyle w:val="Default"/>
              <w:rPr>
                <w:rFonts w:ascii="Arial Narrow" w:hAnsi="Arial Narrow" w:cs="Arial"/>
                <w:i/>
                <w:sz w:val="22"/>
                <w:szCs w:val="22"/>
              </w:rPr>
            </w:pPr>
          </w:p>
          <w:p w:rsidR="00824F9B" w:rsidRDefault="007C53D1" w:rsidP="00B33479">
            <w:pPr>
              <w:pStyle w:val="Default"/>
              <w:rPr>
                <w:rFonts w:ascii="Arial Narrow" w:hAnsi="Arial Narrow" w:cs="Arial"/>
                <w:sz w:val="20"/>
                <w:szCs w:val="20"/>
              </w:rPr>
            </w:pPr>
            <w:r w:rsidRPr="00C63E27">
              <w:rPr>
                <w:rFonts w:ascii="Arial Narrow" w:hAnsi="Arial Narrow" w:cs="Arial"/>
                <w:i/>
                <w:sz w:val="20"/>
                <w:szCs w:val="20"/>
              </w:rPr>
              <w:t xml:space="preserve">Beyond completing the </w:t>
            </w:r>
            <w:r w:rsidR="00055B6F" w:rsidRPr="00C63E27">
              <w:rPr>
                <w:rFonts w:ascii="Arial Narrow" w:hAnsi="Arial Narrow" w:cs="Arial"/>
                <w:i/>
                <w:sz w:val="20"/>
                <w:szCs w:val="20"/>
              </w:rPr>
              <w:t xml:space="preserve">above </w:t>
            </w:r>
            <w:r w:rsidRPr="00C63E27">
              <w:rPr>
                <w:rFonts w:ascii="Arial Narrow" w:hAnsi="Arial Narrow" w:cs="Arial"/>
                <w:i/>
                <w:sz w:val="20"/>
                <w:szCs w:val="20"/>
              </w:rPr>
              <w:t xml:space="preserve">steps, how will you </w:t>
            </w:r>
            <w:r w:rsidR="009B18C4" w:rsidRPr="00C63E27">
              <w:rPr>
                <w:rFonts w:ascii="Arial Narrow" w:hAnsi="Arial Narrow" w:cs="Arial"/>
                <w:i/>
                <w:sz w:val="20"/>
                <w:szCs w:val="20"/>
              </w:rPr>
              <w:t xml:space="preserve">judge whether </w:t>
            </w:r>
            <w:r w:rsidRPr="00C63E27">
              <w:rPr>
                <w:rFonts w:ascii="Arial Narrow" w:hAnsi="Arial Narrow" w:cs="Arial"/>
                <w:i/>
                <w:sz w:val="20"/>
                <w:szCs w:val="20"/>
              </w:rPr>
              <w:t>the objective was a success</w:t>
            </w:r>
            <w:r w:rsidR="009B18C4" w:rsidRPr="00C63E27">
              <w:rPr>
                <w:rFonts w:ascii="Arial Narrow" w:hAnsi="Arial Narrow" w:cs="Arial"/>
                <w:i/>
                <w:sz w:val="20"/>
                <w:szCs w:val="20"/>
              </w:rPr>
              <w:t>?</w:t>
            </w:r>
            <w:r w:rsidR="00824F9B" w:rsidRPr="00C63E27">
              <w:rPr>
                <w:rFonts w:ascii="Arial Narrow" w:hAnsi="Arial Narrow" w:cs="Arial"/>
                <w:i/>
                <w:sz w:val="20"/>
                <w:szCs w:val="20"/>
              </w:rPr>
              <w:t xml:space="preserve"> </w:t>
            </w:r>
            <w:r w:rsidR="009B18C4" w:rsidRPr="00C63E27">
              <w:rPr>
                <w:rFonts w:ascii="Arial Narrow" w:hAnsi="Arial Narrow" w:cs="Arial"/>
                <w:i/>
                <w:sz w:val="20"/>
                <w:szCs w:val="20"/>
              </w:rPr>
              <w:t>Ex</w:t>
            </w:r>
            <w:r w:rsidR="00122E20" w:rsidRPr="00C63E27">
              <w:rPr>
                <w:rFonts w:ascii="Arial Narrow" w:hAnsi="Arial Narrow" w:cs="Arial"/>
                <w:i/>
                <w:sz w:val="20"/>
                <w:szCs w:val="20"/>
              </w:rPr>
              <w:t>amples:</w:t>
            </w:r>
            <w:r w:rsidR="00C63E27">
              <w:rPr>
                <w:rFonts w:ascii="Arial Narrow" w:hAnsi="Arial Narrow" w:cs="Arial"/>
                <w:i/>
                <w:sz w:val="20"/>
                <w:szCs w:val="20"/>
              </w:rPr>
              <w:t xml:space="preserve"> If t</w:t>
            </w:r>
            <w:r w:rsidR="009B18C4" w:rsidRPr="00C63E27">
              <w:rPr>
                <w:rFonts w:ascii="Arial Narrow" w:hAnsi="Arial Narrow" w:cs="Arial"/>
                <w:i/>
                <w:sz w:val="20"/>
                <w:szCs w:val="20"/>
              </w:rPr>
              <w:t xml:space="preserve">he rationale was Efficiency/cost, </w:t>
            </w:r>
            <w:r w:rsidRPr="00C63E27">
              <w:rPr>
                <w:rFonts w:ascii="Arial Narrow" w:hAnsi="Arial Narrow" w:cs="Arial"/>
                <w:i/>
                <w:sz w:val="20"/>
                <w:szCs w:val="20"/>
              </w:rPr>
              <w:t xml:space="preserve">what </w:t>
            </w:r>
            <w:proofErr w:type="gramStart"/>
            <w:r w:rsidRPr="00C63E27">
              <w:rPr>
                <w:rFonts w:ascii="Arial Narrow" w:hAnsi="Arial Narrow" w:cs="Arial"/>
                <w:i/>
                <w:sz w:val="20"/>
                <w:szCs w:val="20"/>
              </w:rPr>
              <w:t>is the desired and/or minimum target criteria</w:t>
            </w:r>
            <w:proofErr w:type="gramEnd"/>
            <w:r w:rsidRPr="00C63E27">
              <w:rPr>
                <w:rFonts w:ascii="Arial Narrow" w:hAnsi="Arial Narrow" w:cs="Arial"/>
                <w:i/>
                <w:sz w:val="20"/>
                <w:szCs w:val="20"/>
              </w:rPr>
              <w:t xml:space="preserve"> </w:t>
            </w:r>
            <w:r w:rsidR="00122E20" w:rsidRPr="00C63E27">
              <w:rPr>
                <w:rFonts w:ascii="Arial Narrow" w:hAnsi="Arial Narrow" w:cs="Arial"/>
                <w:i/>
                <w:sz w:val="20"/>
                <w:szCs w:val="20"/>
              </w:rPr>
              <w:t xml:space="preserve">for savings in time or cost? If the rationale was Satisfaction, what </w:t>
            </w:r>
            <w:proofErr w:type="gramStart"/>
            <w:r w:rsidR="00122E20" w:rsidRPr="00C63E27">
              <w:rPr>
                <w:rFonts w:ascii="Arial Narrow" w:hAnsi="Arial Narrow" w:cs="Arial"/>
                <w:i/>
                <w:sz w:val="20"/>
                <w:szCs w:val="20"/>
              </w:rPr>
              <w:t>is</w:t>
            </w:r>
            <w:proofErr w:type="gramEnd"/>
            <w:r w:rsidR="00122E20" w:rsidRPr="00C63E27">
              <w:rPr>
                <w:rFonts w:ascii="Arial Narrow" w:hAnsi="Arial Narrow" w:cs="Arial"/>
                <w:i/>
                <w:sz w:val="20"/>
                <w:szCs w:val="20"/>
              </w:rPr>
              <w:t xml:space="preserve"> the measure and what increase is desired</w:t>
            </w:r>
            <w:r w:rsidR="00122E20" w:rsidRPr="00C63E27">
              <w:rPr>
                <w:rFonts w:ascii="Arial Narrow" w:hAnsi="Arial Narrow" w:cs="Arial"/>
                <w:sz w:val="20"/>
                <w:szCs w:val="20"/>
              </w:rPr>
              <w:t>?</w:t>
            </w:r>
          </w:p>
          <w:p w:rsidR="00785AD6" w:rsidRDefault="00785AD6" w:rsidP="00B33479">
            <w:pPr>
              <w:pStyle w:val="Default"/>
              <w:rPr>
                <w:rFonts w:ascii="Arial Narrow" w:hAnsi="Arial Narrow" w:cs="Arial"/>
                <w:sz w:val="20"/>
                <w:szCs w:val="20"/>
              </w:rPr>
            </w:pPr>
          </w:p>
          <w:p w:rsidR="00B33479" w:rsidRPr="009860CD" w:rsidRDefault="00785AD6" w:rsidP="00E76928">
            <w:pPr>
              <w:rPr>
                <w:rFonts w:ascii="Arial Narrow" w:hAnsi="Arial Narrow"/>
                <w:sz w:val="22"/>
                <w:szCs w:val="22"/>
              </w:rPr>
            </w:pPr>
            <w:r>
              <w:rPr>
                <w:rFonts w:ascii="Arial Narrow" w:hAnsi="Arial Narrow" w:cs="Arial"/>
                <w:sz w:val="22"/>
                <w:szCs w:val="22"/>
              </w:rPr>
              <w:t>This will establish a new baseline of donors to the NMU Alumni Association which will be a measure of alumni satisfaction with programs and services.</w:t>
            </w: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425DE7">
            <w:pPr>
              <w:spacing w:before="240"/>
              <w:rPr>
                <w:rFonts w:ascii="Arial Narrow" w:hAnsi="Arial Narrow" w:cs="Arial"/>
                <w:b/>
              </w:rPr>
            </w:pPr>
            <w:r>
              <w:rPr>
                <w:rFonts w:ascii="Arial Narrow" w:hAnsi="Arial Narrow" w:cs="Arial"/>
                <w:b/>
                <w:sz w:val="22"/>
                <w:szCs w:val="22"/>
              </w:rPr>
              <w:lastRenderedPageBreak/>
              <w:t>Assessment Report</w:t>
            </w:r>
          </w:p>
        </w:tc>
        <w:tc>
          <w:tcPr>
            <w:tcW w:w="129" w:type="pct"/>
            <w:tcBorders>
              <w:top w:val="nil"/>
              <w:left w:val="nil"/>
              <w:bottom w:val="nil"/>
              <w:right w:val="nil"/>
            </w:tcBorders>
          </w:tcPr>
          <w:p w:rsidR="00A07684" w:rsidRPr="009860CD" w:rsidRDefault="00A07684" w:rsidP="00425DE7">
            <w:pPr>
              <w:rPr>
                <w:rFonts w:ascii="Arial Narrow" w:hAnsi="Arial Narrow" w:cs="Arial"/>
              </w:rPr>
            </w:pPr>
          </w:p>
        </w:tc>
        <w:tc>
          <w:tcPr>
            <w:tcW w:w="2427" w:type="pct"/>
            <w:tcBorders>
              <w:top w:val="nil"/>
              <w:left w:val="nil"/>
              <w:bottom w:val="nil"/>
              <w:right w:val="nil"/>
            </w:tcBorders>
          </w:tcPr>
          <w:p w:rsidR="00A07684" w:rsidRDefault="00A07684" w:rsidP="00425DE7">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425DE7">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#2</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DE7">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DE7">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425DE7">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425DE7">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425DE7">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r w:rsidR="00A07684" w:rsidRPr="009860CD" w:rsidTr="002C4E27">
        <w:trPr>
          <w:gridAfter w:val="1"/>
          <w:wAfter w:w="20" w:type="pct"/>
        </w:trPr>
        <w:tc>
          <w:tcPr>
            <w:tcW w:w="2424" w:type="pct"/>
            <w:tcBorders>
              <w:top w:val="nil"/>
              <w:left w:val="nil"/>
              <w:bottom w:val="single" w:sz="4" w:space="0" w:color="auto"/>
              <w:right w:val="nil"/>
            </w:tcBorders>
          </w:tcPr>
          <w:p w:rsidR="00A07684" w:rsidRPr="009860CD" w:rsidRDefault="00A07684" w:rsidP="00425DE7">
            <w:pPr>
              <w:spacing w:before="240"/>
              <w:rPr>
                <w:rFonts w:ascii="Arial Narrow" w:hAnsi="Arial Narrow" w:cs="Arial"/>
                <w:b/>
              </w:rPr>
            </w:pPr>
            <w:r>
              <w:rPr>
                <w:rFonts w:ascii="Arial Narrow" w:hAnsi="Arial Narrow" w:cs="Arial"/>
                <w:b/>
                <w:sz w:val="22"/>
                <w:szCs w:val="22"/>
              </w:rPr>
              <w:t>Improvement Plan</w:t>
            </w:r>
          </w:p>
        </w:tc>
        <w:tc>
          <w:tcPr>
            <w:tcW w:w="129" w:type="pct"/>
            <w:tcBorders>
              <w:top w:val="nil"/>
              <w:left w:val="nil"/>
              <w:bottom w:val="single" w:sz="4" w:space="0" w:color="auto"/>
              <w:right w:val="nil"/>
            </w:tcBorders>
          </w:tcPr>
          <w:p w:rsidR="00A07684" w:rsidRPr="009860CD" w:rsidRDefault="00A07684" w:rsidP="00425DE7">
            <w:pPr>
              <w:spacing w:before="240"/>
              <w:rPr>
                <w:rFonts w:ascii="Arial Narrow" w:hAnsi="Arial Narrow" w:cs="Arial"/>
              </w:rPr>
            </w:pPr>
          </w:p>
        </w:tc>
        <w:tc>
          <w:tcPr>
            <w:tcW w:w="2427" w:type="pct"/>
            <w:tcBorders>
              <w:top w:val="nil"/>
              <w:left w:val="nil"/>
              <w:bottom w:val="single" w:sz="4" w:space="0" w:color="auto"/>
              <w:right w:val="nil"/>
            </w:tcBorders>
          </w:tcPr>
          <w:p w:rsidR="00A07684" w:rsidRDefault="00A07684" w:rsidP="00425DE7">
            <w:pPr>
              <w:spacing w:before="240"/>
              <w:rPr>
                <w:rFonts w:ascii="Arial Narrow" w:hAnsi="Arial Narrow" w:cs="Arial"/>
                <w:b/>
              </w:rPr>
            </w:pPr>
          </w:p>
        </w:tc>
      </w:tr>
      <w:tr w:rsidR="002C4E27" w:rsidRPr="009860CD" w:rsidTr="002C4E27">
        <w:trPr>
          <w:trHeight w:val="575"/>
        </w:trPr>
        <w:tc>
          <w:tcPr>
            <w:tcW w:w="2424" w:type="pct"/>
            <w:tcBorders>
              <w:top w:val="single" w:sz="4" w:space="0" w:color="auto"/>
              <w:left w:val="single" w:sz="4" w:space="0" w:color="auto"/>
              <w:bottom w:val="nil"/>
              <w:right w:val="nil"/>
            </w:tcBorders>
          </w:tcPr>
          <w:p w:rsidR="00A07684" w:rsidRPr="009860CD" w:rsidRDefault="002C4E27" w:rsidP="00E15313">
            <w:pPr>
              <w:rPr>
                <w:rFonts w:ascii="Arial Narrow" w:hAnsi="Arial Narrow" w:cs="Arial"/>
                <w:b/>
              </w:rPr>
            </w:pPr>
            <w:r>
              <w:rPr>
                <w:rFonts w:ascii="Arial Narrow" w:hAnsi="Arial Narrow" w:cs="Arial"/>
                <w:b/>
                <w:sz w:val="22"/>
                <w:szCs w:val="22"/>
              </w:rPr>
              <w:t>Administrative Objective #3</w:t>
            </w:r>
            <w:r w:rsidR="00A07684" w:rsidRPr="009860CD">
              <w:rPr>
                <w:rFonts w:ascii="Arial Narrow" w:hAnsi="Arial Narrow" w:cs="Arial"/>
                <w:b/>
                <w:sz w:val="22"/>
                <w:szCs w:val="22"/>
              </w:rPr>
              <w:t xml:space="preserve"> </w:t>
            </w:r>
          </w:p>
        </w:tc>
        <w:tc>
          <w:tcPr>
            <w:tcW w:w="129" w:type="pct"/>
            <w:tcBorders>
              <w:top w:val="single" w:sz="4" w:space="0" w:color="auto"/>
              <w:left w:val="nil"/>
              <w:bottom w:val="nil"/>
              <w:right w:val="nil"/>
            </w:tcBorders>
          </w:tcPr>
          <w:p w:rsidR="00A07684" w:rsidRPr="009860CD" w:rsidRDefault="00A07684" w:rsidP="00425DE7">
            <w:pPr>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DE7">
            <w:pPr>
              <w:rPr>
                <w:rFonts w:ascii="Arial Narrow" w:hAnsi="Arial Narrow" w:cs="Arial"/>
                <w:b/>
              </w:rPr>
            </w:pPr>
            <w:r>
              <w:rPr>
                <w:rFonts w:ascii="Arial Narrow" w:hAnsi="Arial Narrow" w:cs="Arial"/>
                <w:b/>
                <w:sz w:val="22"/>
                <w:szCs w:val="22"/>
              </w:rPr>
              <w:t>Action Plan</w:t>
            </w:r>
            <w:r w:rsidRPr="009860CD">
              <w:rPr>
                <w:rFonts w:ascii="Arial Narrow" w:hAnsi="Arial Narrow" w:cs="Arial"/>
                <w:b/>
                <w:sz w:val="22"/>
                <w:szCs w:val="22"/>
              </w:rPr>
              <w:t xml:space="preserve">/Evidence of Assessment for Objective </w:t>
            </w:r>
          </w:p>
        </w:tc>
      </w:tr>
      <w:tr w:rsidR="007C53D1" w:rsidRPr="009860CD" w:rsidTr="002C4E27">
        <w:tblPrEx>
          <w:tblCellMar>
            <w:left w:w="108" w:type="dxa"/>
            <w:right w:w="108" w:type="dxa"/>
          </w:tblCellMar>
        </w:tblPrEx>
        <w:tc>
          <w:tcPr>
            <w:tcW w:w="2424" w:type="pct"/>
            <w:tcBorders>
              <w:top w:val="nil"/>
              <w:left w:val="single" w:sz="4" w:space="0" w:color="auto"/>
              <w:bottom w:val="single" w:sz="4" w:space="0" w:color="auto"/>
              <w:right w:val="nil"/>
            </w:tcBorders>
            <w:shd w:val="clear" w:color="auto" w:fill="F2F2F2" w:themeFill="background1" w:themeFillShade="F2"/>
          </w:tcPr>
          <w:p w:rsidR="007C53D1" w:rsidRPr="00C63E27" w:rsidRDefault="007C53D1" w:rsidP="00972106">
            <w:pPr>
              <w:rPr>
                <w:rFonts w:ascii="Arial Narrow" w:hAnsi="Arial Narrow"/>
              </w:rPr>
            </w:pPr>
            <w:r w:rsidRPr="00431236">
              <w:rPr>
                <w:rFonts w:ascii="Arial Narrow" w:hAnsi="Arial Narrow"/>
                <w:i/>
                <w:sz w:val="20"/>
                <w:szCs w:val="22"/>
              </w:rPr>
              <w:t>Objective</w:t>
            </w:r>
            <w:r w:rsidRPr="009860CD">
              <w:rPr>
                <w:rFonts w:ascii="Arial Narrow" w:hAnsi="Arial Narrow"/>
                <w:sz w:val="22"/>
                <w:szCs w:val="22"/>
              </w:rPr>
              <w:t>:</w:t>
            </w:r>
          </w:p>
          <w:p w:rsidR="00D5392F" w:rsidRDefault="00D5392F" w:rsidP="00D5392F">
            <w:pPr>
              <w:rPr>
                <w:rFonts w:ascii="Arial Narrow" w:hAnsi="Arial Narrow" w:cs="Arial"/>
              </w:rPr>
            </w:pPr>
            <w:r>
              <w:rPr>
                <w:rFonts w:ascii="Arial Narrow" w:hAnsi="Arial Narrow" w:cs="Arial"/>
                <w:sz w:val="22"/>
                <w:szCs w:val="22"/>
              </w:rPr>
              <w:t xml:space="preserve">Create a Social Media plan to provide various social media tools for </w:t>
            </w:r>
            <w:r w:rsidR="00E15313" w:rsidRPr="00B732C3">
              <w:rPr>
                <w:rFonts w:ascii="Arial Narrow" w:hAnsi="Arial Narrow" w:cs="Arial"/>
                <w:sz w:val="22"/>
                <w:szCs w:val="22"/>
              </w:rPr>
              <w:t>alumni, s</w:t>
            </w:r>
            <w:r>
              <w:rPr>
                <w:rFonts w:ascii="Arial Narrow" w:hAnsi="Arial Narrow" w:cs="Arial"/>
                <w:sz w:val="22"/>
                <w:szCs w:val="22"/>
              </w:rPr>
              <w:t xml:space="preserve">tudents, and prospective donors to interact with </w:t>
            </w:r>
            <w:r w:rsidR="00E15313" w:rsidRPr="00B732C3">
              <w:rPr>
                <w:rFonts w:ascii="Arial Narrow" w:hAnsi="Arial Narrow" w:cs="Arial"/>
                <w:sz w:val="22"/>
                <w:szCs w:val="22"/>
              </w:rPr>
              <w:t>Northern Michigan University</w:t>
            </w:r>
            <w:r>
              <w:rPr>
                <w:rFonts w:ascii="Arial Narrow" w:hAnsi="Arial Narrow" w:cs="Arial"/>
                <w:sz w:val="22"/>
                <w:szCs w:val="22"/>
              </w:rPr>
              <w:t xml:space="preserve">.  </w:t>
            </w:r>
          </w:p>
          <w:p w:rsidR="00D5392F" w:rsidRDefault="00D5392F" w:rsidP="00D5392F">
            <w:pPr>
              <w:rPr>
                <w:rFonts w:ascii="Arial Narrow" w:hAnsi="Arial Narrow" w:cs="Arial"/>
              </w:rPr>
            </w:pPr>
          </w:p>
          <w:p w:rsidR="00D5392F" w:rsidRDefault="00D5392F" w:rsidP="00D5392F">
            <w:pPr>
              <w:rPr>
                <w:rFonts w:ascii="Arial Narrow" w:hAnsi="Arial Narrow" w:cs="Arial"/>
              </w:rPr>
            </w:pPr>
            <w:r>
              <w:rPr>
                <w:rFonts w:ascii="Arial Narrow" w:hAnsi="Arial Narrow" w:cs="Arial"/>
                <w:sz w:val="22"/>
                <w:szCs w:val="22"/>
              </w:rPr>
              <w:t>Rationale:  We are currently utilizing a variety of Social Media tools primarily to communicate information and encourage event attendance</w:t>
            </w:r>
            <w:r w:rsidR="004934A3">
              <w:rPr>
                <w:rFonts w:ascii="Arial Narrow" w:hAnsi="Arial Narrow" w:cs="Arial"/>
                <w:sz w:val="22"/>
                <w:szCs w:val="22"/>
              </w:rPr>
              <w:t xml:space="preserve"> but no formal plan exists.  </w:t>
            </w:r>
          </w:p>
          <w:p w:rsidR="00D5392F" w:rsidRDefault="00D5392F" w:rsidP="00D5392F">
            <w:pPr>
              <w:rPr>
                <w:rFonts w:ascii="Arial Narrow" w:hAnsi="Arial Narrow" w:cs="Arial"/>
              </w:rPr>
            </w:pPr>
          </w:p>
          <w:p w:rsidR="00D5392F" w:rsidRDefault="00D5392F" w:rsidP="00D5392F">
            <w:pPr>
              <w:rPr>
                <w:rFonts w:ascii="Arial Narrow" w:hAnsi="Arial Narrow" w:cs="Arial"/>
              </w:rPr>
            </w:pPr>
            <w:r>
              <w:rPr>
                <w:rFonts w:ascii="Arial Narrow" w:hAnsi="Arial Narrow" w:cs="Arial"/>
                <w:sz w:val="22"/>
                <w:szCs w:val="22"/>
              </w:rPr>
              <w:t>A Social Media plan will help ensure we are utilizing social media in concert with the overall university branding plan.</w:t>
            </w:r>
          </w:p>
          <w:p w:rsidR="00D5392F" w:rsidRDefault="00D5392F" w:rsidP="00972106">
            <w:pPr>
              <w:rPr>
                <w:rFonts w:ascii="Arial Narrow" w:hAnsi="Arial Narrow" w:cs="Arial"/>
                <w:color w:val="FF0000"/>
              </w:rPr>
            </w:pPr>
          </w:p>
          <w:p w:rsidR="00A629FB" w:rsidRPr="00A629FB" w:rsidRDefault="00A629FB" w:rsidP="00A629FB">
            <w:pPr>
              <w:autoSpaceDE w:val="0"/>
              <w:autoSpaceDN w:val="0"/>
              <w:adjustRightInd w:val="0"/>
              <w:rPr>
                <w:rFonts w:ascii="Myriad-Roman" w:eastAsiaTheme="minorHAnsi" w:hAnsi="Myriad-Roman" w:cs="Myriad-Roman"/>
                <w:color w:val="231F20"/>
                <w:sz w:val="20"/>
                <w:szCs w:val="20"/>
              </w:rPr>
            </w:pPr>
          </w:p>
          <w:p w:rsidR="00C63E27" w:rsidRPr="00431236" w:rsidRDefault="00C63E27" w:rsidP="00C63E27">
            <w:pPr>
              <w:rPr>
                <w:rFonts w:ascii="Arial Narrow" w:hAnsi="Arial Narrow"/>
              </w:rPr>
            </w:pPr>
            <w:r w:rsidRPr="00431236">
              <w:rPr>
                <w:rFonts w:ascii="Arial Narrow" w:hAnsi="Arial Narrow"/>
                <w:i/>
                <w:sz w:val="20"/>
                <w:szCs w:val="22"/>
              </w:rPr>
              <w:t>Rationale (Why you are setting this objective; mark with “X”)</w:t>
            </w:r>
            <w:r w:rsidRPr="00431236">
              <w:rPr>
                <w:rFonts w:ascii="Arial Narrow" w:hAnsi="Arial Narrow"/>
                <w:sz w:val="20"/>
                <w:szCs w:val="22"/>
              </w:rPr>
              <w:t>:</w:t>
            </w:r>
          </w:p>
          <w:p w:rsidR="00C63E27" w:rsidRPr="00431236" w:rsidRDefault="00D5392F" w:rsidP="00C63E27">
            <w:pPr>
              <w:rPr>
                <w:rFonts w:ascii="Arial Narrow" w:hAnsi="Arial Narrow"/>
              </w:rPr>
            </w:pPr>
            <w:r>
              <w:rPr>
                <w:rFonts w:ascii="Arial Narrow" w:hAnsi="Arial Narrow"/>
                <w:sz w:val="20"/>
                <w:szCs w:val="22"/>
                <w:u w:val="single"/>
              </w:rPr>
              <w:t>X</w:t>
            </w:r>
            <w:r w:rsidR="00C63E27" w:rsidRPr="00431236">
              <w:rPr>
                <w:rFonts w:ascii="Arial Narrow" w:hAnsi="Arial Narrow"/>
                <w:sz w:val="20"/>
                <w:szCs w:val="22"/>
              </w:rPr>
              <w:t xml:space="preserve"> Effectiveness/quality action </w:t>
            </w:r>
            <w:r w:rsidR="00C63E27" w:rsidRPr="00431236">
              <w:rPr>
                <w:rFonts w:ascii="Arial Narrow" w:hAnsi="Arial Narrow"/>
                <w:sz w:val="20"/>
                <w:szCs w:val="22"/>
                <w:u w:val="single"/>
              </w:rPr>
              <w:sym w:font="Symbol" w:char="F092"/>
            </w:r>
            <w:r w:rsidR="00C63E27" w:rsidRPr="00431236">
              <w:rPr>
                <w:rFonts w:ascii="Arial Narrow" w:hAnsi="Arial Narrow"/>
                <w:sz w:val="20"/>
                <w:szCs w:val="22"/>
              </w:rPr>
              <w:t xml:space="preserve"> Efficiency/cost action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u w:val="single"/>
              </w:rPr>
              <w:t xml:space="preserve"> </w:t>
            </w:r>
            <w:r w:rsidRPr="00431236">
              <w:rPr>
                <w:rFonts w:ascii="Arial Narrow" w:hAnsi="Arial Narrow"/>
                <w:sz w:val="20"/>
                <w:szCs w:val="22"/>
              </w:rPr>
              <w:t xml:space="preserve">Compliance issue </w:t>
            </w:r>
            <w:r w:rsidR="004C153A">
              <w:rPr>
                <w:rFonts w:ascii="Arial Narrow" w:hAnsi="Arial Narrow"/>
                <w:sz w:val="20"/>
                <w:szCs w:val="22"/>
                <w:u w:val="single"/>
              </w:rPr>
              <w:t>X</w:t>
            </w:r>
            <w:r w:rsidRPr="00431236">
              <w:rPr>
                <w:rFonts w:ascii="Arial Narrow" w:hAnsi="Arial Narrow"/>
                <w:sz w:val="20"/>
                <w:szCs w:val="22"/>
              </w:rPr>
              <w:t xml:space="preserve"> Satisfaction measure  </w:t>
            </w:r>
            <w:r w:rsidR="00D5392F">
              <w:rPr>
                <w:rFonts w:ascii="Arial Narrow" w:hAnsi="Arial Narrow"/>
                <w:sz w:val="20"/>
                <w:szCs w:val="22"/>
                <w:u w:val="single"/>
              </w:rPr>
              <w:t>X</w:t>
            </w:r>
            <w:r w:rsidRPr="00431236">
              <w:rPr>
                <w:rFonts w:ascii="Arial Narrow" w:hAnsi="Arial Narrow"/>
                <w:sz w:val="20"/>
                <w:szCs w:val="22"/>
              </w:rPr>
              <w:t xml:space="preserve"> Create baseline  </w:t>
            </w:r>
          </w:p>
          <w:p w:rsidR="00C63E27" w:rsidRPr="00431236" w:rsidRDefault="00C63E27" w:rsidP="00C63E27">
            <w:pPr>
              <w:rPr>
                <w:rFonts w:ascii="Arial Narrow" w:hAnsi="Arial Narrow"/>
              </w:rPr>
            </w:pPr>
            <w:r w:rsidRPr="00431236">
              <w:rPr>
                <w:rFonts w:ascii="Arial Narrow" w:hAnsi="Arial Narrow"/>
                <w:sz w:val="20"/>
                <w:szCs w:val="22"/>
                <w:u w:val="single"/>
              </w:rPr>
              <w:sym w:font="Symbol" w:char="F092"/>
            </w:r>
            <w:r w:rsidRPr="00431236">
              <w:rPr>
                <w:rFonts w:ascii="Arial Narrow" w:hAnsi="Arial Narrow"/>
                <w:sz w:val="20"/>
                <w:szCs w:val="22"/>
              </w:rPr>
              <w:t xml:space="preserve"> Other (explain): </w:t>
            </w:r>
          </w:p>
          <w:p w:rsidR="00C63E27" w:rsidRPr="009860CD" w:rsidRDefault="00C63E27" w:rsidP="00C63E27">
            <w:pPr>
              <w:rPr>
                <w:rFonts w:ascii="Arial Narrow" w:hAnsi="Arial Narrow"/>
              </w:rPr>
            </w:pPr>
          </w:p>
          <w:p w:rsidR="00C63E27" w:rsidRPr="00C63E27" w:rsidRDefault="00C63E27" w:rsidP="00C63E27">
            <w:pPr>
              <w:rPr>
                <w:rFonts w:ascii="Arial Narrow" w:hAnsi="Arial Narrow"/>
                <w:i/>
                <w:sz w:val="20"/>
                <w:szCs w:val="20"/>
              </w:rPr>
            </w:pPr>
            <w:r>
              <w:rPr>
                <w:rFonts w:ascii="Arial Narrow" w:hAnsi="Arial Narrow"/>
                <w:i/>
                <w:sz w:val="20"/>
                <w:szCs w:val="20"/>
              </w:rPr>
              <w:t xml:space="preserve">Alignment </w:t>
            </w:r>
            <w:r w:rsidRPr="00C63E27">
              <w:rPr>
                <w:rFonts w:ascii="Arial Narrow" w:hAnsi="Arial Narrow"/>
                <w:i/>
                <w:sz w:val="20"/>
                <w:szCs w:val="20"/>
              </w:rPr>
              <w:t>(Refer to last pages)</w:t>
            </w:r>
          </w:p>
          <w:p w:rsidR="00C63E27"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 xml:space="preserve">Which AQIP category does this address? </w:t>
            </w:r>
            <w:r w:rsidR="00E76928">
              <w:rPr>
                <w:rFonts w:ascii="Arial Narrow" w:hAnsi="Arial Narrow"/>
                <w:i/>
                <w:sz w:val="20"/>
                <w:szCs w:val="20"/>
              </w:rPr>
              <w:t>3</w:t>
            </w:r>
          </w:p>
          <w:p w:rsidR="007C53D1" w:rsidRPr="00C63E27" w:rsidRDefault="00C63E27" w:rsidP="00C63E27">
            <w:pPr>
              <w:pStyle w:val="ListParagraph"/>
              <w:numPr>
                <w:ilvl w:val="0"/>
                <w:numId w:val="4"/>
              </w:numPr>
              <w:ind w:left="360"/>
              <w:rPr>
                <w:rFonts w:ascii="Arial Narrow" w:hAnsi="Arial Narrow"/>
              </w:rPr>
            </w:pPr>
            <w:r w:rsidRPr="00C63E27">
              <w:rPr>
                <w:rFonts w:ascii="Arial Narrow" w:hAnsi="Arial Narrow"/>
                <w:i/>
                <w:sz w:val="20"/>
                <w:szCs w:val="20"/>
              </w:rPr>
              <w:t>Does this objective relate to a Road Map goal? If yes, type the related Road Map codes here</w:t>
            </w:r>
            <w:r w:rsidRPr="00C63E27">
              <w:rPr>
                <w:rFonts w:ascii="Arial Narrow" w:hAnsi="Arial Narrow"/>
                <w:sz w:val="20"/>
                <w:szCs w:val="20"/>
              </w:rPr>
              <w:t>:</w:t>
            </w:r>
            <w:r w:rsidRPr="00C63E27">
              <w:rPr>
                <w:rFonts w:ascii="Arial Narrow" w:hAnsi="Arial Narrow"/>
                <w:sz w:val="22"/>
                <w:szCs w:val="22"/>
              </w:rPr>
              <w:t xml:space="preserve">  </w:t>
            </w:r>
          </w:p>
        </w:tc>
        <w:tc>
          <w:tcPr>
            <w:tcW w:w="129" w:type="pct"/>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431236">
              <w:rPr>
                <w:rFonts w:ascii="Arial Narrow" w:hAnsi="Arial Narrow" w:cs="Arial"/>
                <w:i/>
                <w:sz w:val="20"/>
                <w:szCs w:val="22"/>
              </w:rPr>
              <w:t>Describe timetable plans to achieve objective</w:t>
            </w:r>
            <w:r w:rsidRPr="009860CD">
              <w:rPr>
                <w:rFonts w:ascii="Arial Narrow" w:hAnsi="Arial Narrow" w:cs="Arial"/>
                <w:sz w:val="22"/>
                <w:szCs w:val="22"/>
              </w:rPr>
              <w:t>.</w:t>
            </w:r>
          </w:p>
          <w:p w:rsidR="004C153A" w:rsidRPr="004934A3" w:rsidRDefault="004C153A" w:rsidP="004C153A">
            <w:pPr>
              <w:rPr>
                <w:rFonts w:ascii="Arial Narrow" w:hAnsi="Arial Narrow" w:cs="Arial"/>
              </w:rPr>
            </w:pPr>
            <w:r w:rsidRPr="004934A3">
              <w:rPr>
                <w:rFonts w:ascii="Arial Narrow" w:hAnsi="Arial Narrow" w:cs="Arial"/>
                <w:sz w:val="22"/>
                <w:szCs w:val="22"/>
              </w:rPr>
              <w:t>The plan will include components to encourage new interactions with NMU along with a variety of next steps in engagement including event notifications to encourage attendance, donation options, participate in a survey, promote Foundation scholarships and provide application information.</w:t>
            </w:r>
          </w:p>
          <w:p w:rsidR="004934A3" w:rsidRDefault="004934A3" w:rsidP="004934A3">
            <w:pPr>
              <w:pStyle w:val="Default"/>
              <w:spacing w:line="276" w:lineRule="auto"/>
              <w:rPr>
                <w:rFonts w:ascii="Arial Narrow" w:hAnsi="Arial Narrow"/>
                <w:sz w:val="22"/>
                <w:szCs w:val="22"/>
              </w:rPr>
            </w:pPr>
            <w:r>
              <w:rPr>
                <w:rFonts w:ascii="Arial Narrow" w:hAnsi="Arial Narrow"/>
                <w:sz w:val="22"/>
                <w:szCs w:val="22"/>
              </w:rPr>
              <w:t>a.</w:t>
            </w:r>
            <w:proofErr w:type="gramStart"/>
            <w:r>
              <w:rPr>
                <w:rFonts w:ascii="Arial Narrow" w:hAnsi="Arial Narrow"/>
                <w:sz w:val="22"/>
                <w:szCs w:val="22"/>
              </w:rPr>
              <w:t>  Research</w:t>
            </w:r>
            <w:proofErr w:type="gramEnd"/>
            <w:r>
              <w:rPr>
                <w:rFonts w:ascii="Arial Narrow" w:hAnsi="Arial Narrow"/>
                <w:sz w:val="22"/>
                <w:szCs w:val="22"/>
              </w:rPr>
              <w:t xml:space="preserve"> various social media tools that will help address objective by September 30, 2012.</w:t>
            </w:r>
          </w:p>
          <w:p w:rsidR="004934A3" w:rsidRDefault="004934A3" w:rsidP="004934A3">
            <w:pPr>
              <w:pStyle w:val="Default"/>
              <w:spacing w:line="276" w:lineRule="auto"/>
              <w:rPr>
                <w:rFonts w:ascii="Arial Narrow" w:hAnsi="Arial Narrow"/>
                <w:sz w:val="22"/>
                <w:szCs w:val="22"/>
              </w:rPr>
            </w:pPr>
            <w:r>
              <w:rPr>
                <w:rFonts w:ascii="Arial Narrow" w:hAnsi="Arial Narrow"/>
                <w:sz w:val="22"/>
                <w:szCs w:val="22"/>
              </w:rPr>
              <w:t>b.</w:t>
            </w:r>
            <w:proofErr w:type="gramStart"/>
            <w:r>
              <w:rPr>
                <w:rFonts w:ascii="Arial Narrow" w:hAnsi="Arial Narrow"/>
                <w:sz w:val="22"/>
                <w:szCs w:val="22"/>
              </w:rPr>
              <w:t>  Create</w:t>
            </w:r>
            <w:proofErr w:type="gramEnd"/>
            <w:r>
              <w:rPr>
                <w:rFonts w:ascii="Arial Narrow" w:hAnsi="Arial Narrow"/>
                <w:sz w:val="22"/>
                <w:szCs w:val="22"/>
              </w:rPr>
              <w:t xml:space="preserve"> and document the plan by December 31, 2012.</w:t>
            </w:r>
          </w:p>
          <w:p w:rsidR="004934A3" w:rsidRDefault="004934A3" w:rsidP="004934A3">
            <w:pPr>
              <w:pStyle w:val="Default"/>
              <w:spacing w:line="276" w:lineRule="auto"/>
              <w:rPr>
                <w:rFonts w:ascii="Arial Narrow" w:hAnsi="Arial Narrow"/>
                <w:sz w:val="22"/>
                <w:szCs w:val="22"/>
              </w:rPr>
            </w:pPr>
            <w:r>
              <w:rPr>
                <w:rFonts w:ascii="Arial Narrow" w:hAnsi="Arial Narrow"/>
                <w:sz w:val="22"/>
                <w:szCs w:val="22"/>
              </w:rPr>
              <w:t>c.</w:t>
            </w:r>
            <w:proofErr w:type="gramStart"/>
            <w:r>
              <w:rPr>
                <w:rFonts w:ascii="Arial Narrow" w:hAnsi="Arial Narrow"/>
                <w:sz w:val="22"/>
                <w:szCs w:val="22"/>
              </w:rPr>
              <w:t>  Implement</w:t>
            </w:r>
            <w:proofErr w:type="gramEnd"/>
            <w:r>
              <w:rPr>
                <w:rFonts w:ascii="Arial Narrow" w:hAnsi="Arial Narrow"/>
                <w:sz w:val="22"/>
                <w:szCs w:val="22"/>
              </w:rPr>
              <w:t xml:space="preserve"> plan by March 30, 2013.</w:t>
            </w:r>
          </w:p>
          <w:p w:rsidR="004934A3" w:rsidRDefault="004934A3" w:rsidP="004934A3">
            <w:pPr>
              <w:pStyle w:val="Default"/>
              <w:spacing w:line="276" w:lineRule="auto"/>
              <w:rPr>
                <w:rFonts w:ascii="Arial Narrow" w:hAnsi="Arial Narrow"/>
                <w:sz w:val="22"/>
                <w:szCs w:val="22"/>
              </w:rPr>
            </w:pPr>
            <w:r>
              <w:rPr>
                <w:rFonts w:ascii="Arial Narrow" w:hAnsi="Arial Narrow"/>
                <w:sz w:val="22"/>
                <w:szCs w:val="22"/>
              </w:rPr>
              <w:t>d.  Track number of participations</w:t>
            </w:r>
          </w:p>
          <w:p w:rsidR="004934A3" w:rsidRDefault="004934A3" w:rsidP="004934A3">
            <w:pPr>
              <w:pStyle w:val="Default"/>
              <w:spacing w:line="276" w:lineRule="auto"/>
              <w:rPr>
                <w:rFonts w:ascii="Arial Narrow" w:hAnsi="Arial Narrow"/>
                <w:sz w:val="22"/>
                <w:szCs w:val="22"/>
              </w:rPr>
            </w:pPr>
            <w:r>
              <w:rPr>
                <w:rFonts w:ascii="Arial Narrow" w:hAnsi="Arial Narrow"/>
                <w:sz w:val="22"/>
                <w:szCs w:val="22"/>
              </w:rPr>
              <w:t>e.  Track types of interactions of various tools</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C63E27">
              <w:rPr>
                <w:rFonts w:ascii="Arial Narrow" w:hAnsi="Arial Narrow" w:cs="Arial"/>
                <w:i/>
                <w:sz w:val="20"/>
                <w:szCs w:val="22"/>
              </w:rPr>
              <w:t>Beyond completing the above steps, how will you judge whether the objective was a success</w:t>
            </w:r>
            <w:r w:rsidR="007C53D1" w:rsidRPr="009860CD">
              <w:rPr>
                <w:rFonts w:ascii="Arial Narrow" w:hAnsi="Arial Narrow" w:cs="Arial"/>
                <w:sz w:val="22"/>
                <w:szCs w:val="22"/>
              </w:rPr>
              <w:t>?</w:t>
            </w:r>
            <w:r w:rsidR="00C63E27">
              <w:rPr>
                <w:rFonts w:ascii="Arial Narrow" w:hAnsi="Arial Narrow" w:cs="Arial"/>
                <w:sz w:val="22"/>
                <w:szCs w:val="22"/>
              </w:rPr>
              <w:t xml:space="preserve"> </w:t>
            </w:r>
          </w:p>
          <w:p w:rsidR="007C53D1" w:rsidRPr="009860CD" w:rsidRDefault="007C53D1" w:rsidP="00972106">
            <w:pPr>
              <w:pStyle w:val="Default"/>
              <w:rPr>
                <w:rFonts w:ascii="Arial Narrow" w:hAnsi="Arial Narrow"/>
                <w:sz w:val="22"/>
                <w:szCs w:val="22"/>
              </w:rPr>
            </w:pPr>
          </w:p>
        </w:tc>
      </w:tr>
      <w:tr w:rsidR="00A07684" w:rsidRPr="009860CD" w:rsidTr="002C4E27">
        <w:trPr>
          <w:gridAfter w:val="1"/>
          <w:wAfter w:w="20" w:type="pct"/>
        </w:trPr>
        <w:tc>
          <w:tcPr>
            <w:tcW w:w="2424" w:type="pct"/>
            <w:tcBorders>
              <w:top w:val="nil"/>
              <w:left w:val="nil"/>
              <w:bottom w:val="nil"/>
              <w:right w:val="nil"/>
            </w:tcBorders>
          </w:tcPr>
          <w:p w:rsidR="00A07684" w:rsidRPr="009860CD" w:rsidRDefault="00A07684" w:rsidP="00425DE7">
            <w:pPr>
              <w:spacing w:before="240"/>
              <w:rPr>
                <w:rFonts w:ascii="Arial Narrow" w:hAnsi="Arial Narrow" w:cs="Arial"/>
                <w:b/>
              </w:rPr>
            </w:pPr>
            <w:r>
              <w:rPr>
                <w:rFonts w:ascii="Arial Narrow" w:hAnsi="Arial Narrow" w:cs="Arial"/>
                <w:b/>
                <w:sz w:val="22"/>
                <w:szCs w:val="22"/>
              </w:rPr>
              <w:t>Assessment Report</w:t>
            </w:r>
          </w:p>
        </w:tc>
        <w:tc>
          <w:tcPr>
            <w:tcW w:w="129" w:type="pct"/>
            <w:tcBorders>
              <w:top w:val="nil"/>
              <w:left w:val="nil"/>
              <w:bottom w:val="nil"/>
              <w:right w:val="nil"/>
            </w:tcBorders>
          </w:tcPr>
          <w:p w:rsidR="00A07684" w:rsidRPr="009860CD" w:rsidRDefault="00A07684" w:rsidP="00425DE7">
            <w:pPr>
              <w:rPr>
                <w:rFonts w:ascii="Arial Narrow" w:hAnsi="Arial Narrow" w:cs="Arial"/>
              </w:rPr>
            </w:pPr>
          </w:p>
        </w:tc>
        <w:tc>
          <w:tcPr>
            <w:tcW w:w="2427" w:type="pct"/>
            <w:tcBorders>
              <w:top w:val="nil"/>
              <w:left w:val="nil"/>
              <w:bottom w:val="nil"/>
              <w:right w:val="nil"/>
            </w:tcBorders>
          </w:tcPr>
          <w:p w:rsidR="00A07684" w:rsidRDefault="00A07684" w:rsidP="00425DE7">
            <w:pPr>
              <w:rPr>
                <w:rFonts w:ascii="Arial Narrow" w:hAnsi="Arial Narrow" w:cs="Arial"/>
                <w:b/>
              </w:rPr>
            </w:pPr>
          </w:p>
        </w:tc>
      </w:tr>
      <w:tr w:rsidR="002C4E27" w:rsidRPr="009860CD" w:rsidTr="002C4E27">
        <w:tblPrEx>
          <w:tblCellMar>
            <w:left w:w="108" w:type="dxa"/>
            <w:right w:w="108" w:type="dxa"/>
          </w:tblCellMar>
        </w:tblPrEx>
        <w:tc>
          <w:tcPr>
            <w:tcW w:w="2424" w:type="pct"/>
            <w:tcBorders>
              <w:top w:val="single" w:sz="4" w:space="0" w:color="auto"/>
              <w:left w:val="single" w:sz="4" w:space="0" w:color="auto"/>
              <w:bottom w:val="nil"/>
              <w:right w:val="nil"/>
            </w:tcBorders>
          </w:tcPr>
          <w:p w:rsidR="00A07684" w:rsidRPr="009860CD" w:rsidRDefault="00A07684" w:rsidP="00425DE7">
            <w:pPr>
              <w:spacing w:before="100" w:beforeAutospacing="1" w:after="120"/>
              <w:rPr>
                <w:rFonts w:ascii="Arial Narrow" w:hAnsi="Arial Narrow" w:cs="Arial"/>
                <w:b/>
              </w:rPr>
            </w:pPr>
            <w:r w:rsidRPr="009860CD">
              <w:rPr>
                <w:rFonts w:ascii="Arial Narrow" w:hAnsi="Arial Narrow" w:cs="Arial"/>
                <w:b/>
                <w:sz w:val="22"/>
                <w:szCs w:val="22"/>
              </w:rPr>
              <w:t>Summary of Data Collected</w:t>
            </w:r>
            <w:r w:rsidR="002C4E27">
              <w:rPr>
                <w:rFonts w:ascii="Arial Narrow" w:hAnsi="Arial Narrow" w:cs="Arial"/>
                <w:b/>
                <w:sz w:val="22"/>
                <w:szCs w:val="22"/>
              </w:rPr>
              <w:t xml:space="preserve"> #3</w:t>
            </w:r>
            <w:r w:rsidRPr="009860CD">
              <w:rPr>
                <w:rFonts w:ascii="Arial Narrow" w:hAnsi="Arial Narrow" w:cs="Arial"/>
                <w:b/>
                <w:sz w:val="22"/>
                <w:szCs w:val="22"/>
              </w:rPr>
              <w:t xml:space="preserve"> </w:t>
            </w:r>
            <w:r w:rsidRPr="009860CD">
              <w:rPr>
                <w:rFonts w:ascii="Arial Narrow" w:hAnsi="Arial Narrow" w:cs="Arial"/>
                <w:sz w:val="22"/>
                <w:szCs w:val="22"/>
              </w:rPr>
              <w:t>(</w:t>
            </w:r>
            <w:r w:rsidRPr="00431236">
              <w:rPr>
                <w:rFonts w:ascii="Arial Narrow" w:hAnsi="Arial Narrow" w:cs="Arial"/>
                <w:i/>
                <w:sz w:val="20"/>
                <w:szCs w:val="22"/>
              </w:rPr>
              <w:t>Summarize the evidence</w:t>
            </w:r>
            <w:r w:rsidRPr="009860CD">
              <w:rPr>
                <w:rFonts w:ascii="Arial Narrow" w:hAnsi="Arial Narrow" w:cs="Arial"/>
                <w:i/>
                <w:sz w:val="22"/>
                <w:szCs w:val="22"/>
              </w:rPr>
              <w:t>)</w:t>
            </w:r>
          </w:p>
        </w:tc>
        <w:tc>
          <w:tcPr>
            <w:tcW w:w="129" w:type="pct"/>
            <w:tcBorders>
              <w:top w:val="single" w:sz="4" w:space="0" w:color="auto"/>
              <w:left w:val="nil"/>
              <w:bottom w:val="nil"/>
              <w:right w:val="nil"/>
            </w:tcBorders>
          </w:tcPr>
          <w:p w:rsidR="00A07684" w:rsidRPr="009860CD" w:rsidRDefault="00A07684" w:rsidP="00425DE7">
            <w:pPr>
              <w:spacing w:before="100" w:beforeAutospacing="1" w:after="120"/>
              <w:rPr>
                <w:rFonts w:ascii="Arial Narrow" w:hAnsi="Arial Narrow" w:cs="Arial"/>
              </w:rPr>
            </w:pPr>
          </w:p>
        </w:tc>
        <w:tc>
          <w:tcPr>
            <w:tcW w:w="2447" w:type="pct"/>
            <w:gridSpan w:val="2"/>
            <w:tcBorders>
              <w:top w:val="single" w:sz="4" w:space="0" w:color="auto"/>
              <w:left w:val="nil"/>
              <w:bottom w:val="nil"/>
              <w:right w:val="single" w:sz="4" w:space="0" w:color="auto"/>
            </w:tcBorders>
          </w:tcPr>
          <w:p w:rsidR="00A07684" w:rsidRPr="009860CD" w:rsidRDefault="00A07684" w:rsidP="00425DE7">
            <w:pPr>
              <w:spacing w:before="100" w:beforeAutospacing="1" w:after="120"/>
              <w:rPr>
                <w:rFonts w:ascii="Arial Narrow" w:hAnsi="Arial Narrow" w:cs="Arial"/>
                <w:b/>
              </w:rPr>
            </w:pPr>
            <w:r>
              <w:rPr>
                <w:rFonts w:ascii="Arial Narrow" w:hAnsi="Arial Narrow"/>
                <w:b/>
                <w:sz w:val="22"/>
                <w:szCs w:val="22"/>
              </w:rPr>
              <w:t xml:space="preserve">Description of </w:t>
            </w:r>
            <w:r w:rsidRPr="009860CD">
              <w:rPr>
                <w:rFonts w:ascii="Arial Narrow" w:hAnsi="Arial Narrow"/>
                <w:b/>
                <w:sz w:val="22"/>
                <w:szCs w:val="22"/>
              </w:rPr>
              <w:t xml:space="preserve">how results were used to improve </w:t>
            </w:r>
            <w:r w:rsidRPr="009860CD">
              <w:rPr>
                <w:rFonts w:ascii="Arial Narrow" w:hAnsi="Arial Narrow" w:cs="Arial"/>
                <w:b/>
                <w:sz w:val="22"/>
                <w:szCs w:val="22"/>
              </w:rPr>
              <w:t>services</w:t>
            </w:r>
          </w:p>
        </w:tc>
      </w:tr>
      <w:tr w:rsidR="002C4E27" w:rsidRPr="009860CD" w:rsidTr="002C4E27">
        <w:tc>
          <w:tcPr>
            <w:tcW w:w="2424" w:type="pct"/>
            <w:tcBorders>
              <w:top w:val="nil"/>
              <w:left w:val="single" w:sz="4" w:space="0" w:color="auto"/>
              <w:bottom w:val="single" w:sz="4" w:space="0" w:color="auto"/>
              <w:right w:val="nil"/>
            </w:tcBorders>
            <w:shd w:val="clear" w:color="auto" w:fill="F2F2F2" w:themeFill="background1" w:themeFillShade="F2"/>
          </w:tcPr>
          <w:p w:rsidR="00431236" w:rsidRPr="009860CD" w:rsidRDefault="00431236" w:rsidP="00425DE7">
            <w:pPr>
              <w:rPr>
                <w:rFonts w:ascii="Arial Narrow" w:hAnsi="Arial Narrow"/>
              </w:rPr>
            </w:pPr>
            <w:r w:rsidRPr="009860CD">
              <w:rPr>
                <w:rFonts w:ascii="Arial Narrow" w:hAnsi="Arial Narrow"/>
                <w:sz w:val="22"/>
                <w:szCs w:val="22"/>
              </w:rPr>
              <w:t>(Fill</w:t>
            </w:r>
            <w:r>
              <w:rPr>
                <w:rFonts w:ascii="Arial Narrow" w:hAnsi="Arial Narrow"/>
                <w:sz w:val="22"/>
                <w:szCs w:val="22"/>
              </w:rPr>
              <w:t xml:space="preserve"> this cell</w:t>
            </w:r>
            <w:r w:rsidRPr="009860CD">
              <w:rPr>
                <w:rFonts w:ascii="Arial Narrow" w:hAnsi="Arial Narrow"/>
                <w:sz w:val="22"/>
                <w:szCs w:val="22"/>
              </w:rPr>
              <w:t xml:space="preserve"> only for the REPORT at the end of the year.)</w:t>
            </w:r>
          </w:p>
        </w:tc>
        <w:tc>
          <w:tcPr>
            <w:tcW w:w="129" w:type="pct"/>
            <w:tcBorders>
              <w:top w:val="nil"/>
              <w:left w:val="nil"/>
              <w:bottom w:val="single" w:sz="4" w:space="0" w:color="auto"/>
              <w:right w:val="nil"/>
            </w:tcBorders>
          </w:tcPr>
          <w:p w:rsidR="00431236" w:rsidRPr="009860CD" w:rsidRDefault="00431236" w:rsidP="00425DE7">
            <w:pPr>
              <w:rPr>
                <w:rFonts w:ascii="Arial Narrow" w:hAnsi="Arial Narrow" w:cs="Arial"/>
              </w:rPr>
            </w:pPr>
          </w:p>
        </w:tc>
        <w:tc>
          <w:tcPr>
            <w:tcW w:w="2447" w:type="pct"/>
            <w:gridSpan w:val="2"/>
            <w:tcBorders>
              <w:top w:val="nil"/>
              <w:left w:val="nil"/>
              <w:bottom w:val="single" w:sz="4" w:space="0" w:color="auto"/>
              <w:right w:val="single" w:sz="4" w:space="0" w:color="auto"/>
            </w:tcBorders>
            <w:shd w:val="clear" w:color="auto" w:fill="F2F2F2" w:themeFill="background1" w:themeFillShade="F2"/>
          </w:tcPr>
          <w:p w:rsidR="00431236" w:rsidRPr="009860CD" w:rsidRDefault="00431236" w:rsidP="00425DE7">
            <w:pPr>
              <w:rPr>
                <w:rFonts w:ascii="Arial Narrow" w:hAnsi="Arial Narrow"/>
              </w:rPr>
            </w:pPr>
            <w:r>
              <w:rPr>
                <w:rFonts w:ascii="Arial Narrow" w:hAnsi="Arial Narrow"/>
                <w:sz w:val="22"/>
                <w:szCs w:val="22"/>
              </w:rPr>
              <w:t>(Fill this cell</w:t>
            </w:r>
            <w:r w:rsidRPr="009860CD">
              <w:rPr>
                <w:rFonts w:ascii="Arial Narrow" w:hAnsi="Arial Narrow"/>
                <w:sz w:val="22"/>
                <w:szCs w:val="22"/>
              </w:rPr>
              <w:t xml:space="preserve"> only for the REPORT at the end of the year.)</w:t>
            </w:r>
          </w:p>
        </w:tc>
      </w:tr>
    </w:tbl>
    <w:p w:rsidR="00824F9B" w:rsidRDefault="00824F9B" w:rsidP="0036346B">
      <w:pPr>
        <w:rPr>
          <w:rFonts w:ascii="Arial Narrow" w:hAnsi="Arial Narrow"/>
          <w:b/>
          <w:sz w:val="22"/>
        </w:rPr>
      </w:pPr>
    </w:p>
    <w:p w:rsidR="00FE3472" w:rsidRDefault="00FE3472" w:rsidP="00FE3472">
      <w:pPr>
        <w:outlineLvl w:val="0"/>
        <w:rPr>
          <w:rFonts w:ascii="Arial Narrow" w:hAnsi="Arial Narrow"/>
          <w:b/>
          <w:sz w:val="22"/>
        </w:rPr>
      </w:pPr>
      <w:r>
        <w:rPr>
          <w:rFonts w:ascii="Arial Narrow" w:hAnsi="Arial Narrow"/>
          <w:b/>
          <w:sz w:val="22"/>
        </w:rPr>
        <w:t xml:space="preserve">AQIP </w:t>
      </w:r>
      <w:r w:rsidRPr="0036346B">
        <w:rPr>
          <w:rFonts w:ascii="Arial Narrow" w:hAnsi="Arial Narrow"/>
          <w:b/>
          <w:sz w:val="22"/>
        </w:rPr>
        <w:t xml:space="preserve">Functions within the University: </w:t>
      </w:r>
    </w:p>
    <w:p w:rsidR="00FE3472" w:rsidRPr="0036346B" w:rsidRDefault="00FE3472" w:rsidP="00FE3472">
      <w:pPr>
        <w:outlineLvl w:val="0"/>
        <w:rPr>
          <w:rFonts w:ascii="Arial Narrow" w:hAnsi="Arial Narrow"/>
          <w:b/>
          <w:sz w:val="22"/>
        </w:rPr>
      </w:pPr>
      <w:r w:rsidRPr="00335A5C">
        <w:rPr>
          <w:rFonts w:ascii="Arial Narrow" w:hAnsi="Arial Narrow"/>
          <w:sz w:val="22"/>
        </w:rPr>
        <w:lastRenderedPageBreak/>
        <w:t>Some unit objectives address specific operational issues</w:t>
      </w:r>
      <w:r>
        <w:rPr>
          <w:rFonts w:ascii="Arial Narrow" w:hAnsi="Arial Narrow"/>
          <w:sz w:val="22"/>
        </w:rPr>
        <w:t xml:space="preserve"> directly related to AQIP reporting. Listed below are AQIP categories. Use these category numbers to describe the context of each objective, i.e. which category does that objective address?</w:t>
      </w:r>
      <w:r>
        <w:rPr>
          <w:rFonts w:ascii="Arial Narrow" w:hAnsi="Arial Narrow"/>
          <w:sz w:val="22"/>
        </w:rPr>
        <w:br/>
      </w:r>
      <w:r w:rsidRPr="00FE3472">
        <w:rPr>
          <w:rFonts w:ascii="Arial Narrow" w:hAnsi="Arial Narrow"/>
          <w:sz w:val="20"/>
          <w:szCs w:val="20"/>
        </w:rPr>
        <w:t xml:space="preserve"> </w:t>
      </w:r>
      <w:r w:rsidRPr="000B004B">
        <w:rPr>
          <w:rFonts w:ascii="Arial Narrow" w:hAnsi="Arial Narrow"/>
          <w:sz w:val="20"/>
          <w:szCs w:val="20"/>
        </w:rPr>
        <w:t xml:space="preserve">(A full description of the Portfolio’s categories and its detailed topics are available at </w:t>
      </w:r>
      <w:hyperlink r:id="rId9"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tbl>
      <w:tblPr>
        <w:tblStyle w:val="TableGrid"/>
        <w:tblW w:w="4820" w:type="pct"/>
        <w:tblInd w:w="288" w:type="dxa"/>
        <w:tblCellMar>
          <w:left w:w="58" w:type="dxa"/>
          <w:right w:w="58" w:type="dxa"/>
        </w:tblCellMar>
        <w:tblLook w:val="04A0" w:firstRow="1" w:lastRow="0" w:firstColumn="1" w:lastColumn="0" w:noHBand="0" w:noVBand="1"/>
      </w:tblPr>
      <w:tblGrid>
        <w:gridCol w:w="941"/>
        <w:gridCol w:w="9582"/>
      </w:tblGrid>
      <w:tr w:rsidR="00FE3472" w:rsidRPr="00FE3472" w:rsidTr="00FE3472">
        <w:tc>
          <w:tcPr>
            <w:tcW w:w="5000" w:type="pct"/>
            <w:gridSpan w:val="2"/>
            <w:shd w:val="clear" w:color="auto" w:fill="D9D9D9" w:themeFill="background1" w:themeFillShade="D9"/>
          </w:tcPr>
          <w:p w:rsidR="00FE3472" w:rsidRPr="00FE3472" w:rsidRDefault="00FE3472" w:rsidP="00FE3472">
            <w:pPr>
              <w:ind w:left="274" w:hanging="274"/>
              <w:jc w:val="center"/>
              <w:rPr>
                <w:rFonts w:ascii="Arial Narrow" w:hAnsi="Arial Narrow"/>
                <w:b/>
                <w:i/>
                <w:sz w:val="20"/>
                <w:szCs w:val="20"/>
              </w:rPr>
            </w:pPr>
            <w:r w:rsidRPr="00FE3472">
              <w:rPr>
                <w:rFonts w:ascii="Arial Narrow" w:hAnsi="Arial Narrow"/>
                <w:b/>
                <w:i/>
                <w:sz w:val="20"/>
                <w:szCs w:val="20"/>
              </w:rPr>
              <w:t>AQIP Categories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1</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Helping Students Learn documents the curricular and co-curricular processes and student learning support.</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2</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Accomplishing Other Distinctive Objectives documents the key non-curricular functions by which NMU serves the region, e.g. community engagement initiatives of students and employees, and department outreach.</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3</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 xml:space="preserve">Understanding Students’ and Other Stakeholders’ Needs documents how NMU builds relationships with students, alumni and employers and </w:t>
            </w:r>
            <w:proofErr w:type="gramStart"/>
            <w:r w:rsidRPr="000B004B">
              <w:rPr>
                <w:rFonts w:ascii="Arial Narrow" w:hAnsi="Arial Narrow"/>
                <w:sz w:val="20"/>
                <w:szCs w:val="20"/>
              </w:rPr>
              <w:t>identifies,</w:t>
            </w:r>
            <w:proofErr w:type="gramEnd"/>
            <w:r w:rsidRPr="000B004B">
              <w:rPr>
                <w:rFonts w:ascii="Arial Narrow" w:hAnsi="Arial Narrow"/>
                <w:sz w:val="20"/>
                <w:szCs w:val="20"/>
              </w:rPr>
              <w:t xml:space="preserve"> targets and meets their needs.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4</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Valuing People documents NMU personnel recruitment, training, satisfaction, services and programs.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5</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Leading and Communicating documents processes that guide NMU in setting directions, making decisions, seeking future opportunities, and communicating decisions and actions.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6</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Supporting Institutional Operations documents student and administrative support services, safety, and facilities.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7</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Measuring Effectiveness documents IT systems and institutional research NMU employs to collect, analyze, and distribute, and how departments use them to manage improvement, e.g. use of charts, “cubes,” dashboards.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8</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Planning Continuous Improvement documents NMU’s strategic and administrative planning processes.</w:t>
            </w:r>
          </w:p>
        </w:tc>
      </w:tr>
      <w:tr w:rsidR="00FE3472" w:rsidRPr="00F80222" w:rsidTr="00FE3472">
        <w:tc>
          <w:tcPr>
            <w:tcW w:w="447"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Category 9</w:t>
            </w:r>
          </w:p>
        </w:tc>
        <w:tc>
          <w:tcPr>
            <w:tcW w:w="4553" w:type="pct"/>
          </w:tcPr>
          <w:p w:rsidR="00FE3472" w:rsidRPr="000B004B" w:rsidRDefault="00FE3472" w:rsidP="00FE3472">
            <w:pPr>
              <w:rPr>
                <w:rFonts w:ascii="Arial Narrow" w:hAnsi="Arial Narrow"/>
                <w:sz w:val="20"/>
                <w:szCs w:val="20"/>
              </w:rPr>
            </w:pPr>
            <w:r w:rsidRPr="000B004B">
              <w:rPr>
                <w:rFonts w:ascii="Arial Narrow" w:hAnsi="Arial Narrow"/>
                <w:sz w:val="20"/>
                <w:szCs w:val="20"/>
              </w:rPr>
              <w:t>Building Collaborative Relationships documents how NMU works with external organizations from which we receive students (school systems) or goods and services (vendors and utilities), send our graduates (schools and employers), and support or regulate our programs (agencies).</w:t>
            </w:r>
          </w:p>
        </w:tc>
      </w:tr>
    </w:tbl>
    <w:p w:rsidR="00FE3472" w:rsidRPr="0036346B" w:rsidRDefault="00FE3472" w:rsidP="00FE3472">
      <w:pPr>
        <w:jc w:val="center"/>
        <w:outlineLvl w:val="0"/>
        <w:rPr>
          <w:rFonts w:ascii="Arial Narrow" w:hAnsi="Arial Narrow"/>
          <w:b/>
          <w:sz w:val="22"/>
        </w:rPr>
      </w:pPr>
      <w:r w:rsidRPr="000B004B">
        <w:rPr>
          <w:rFonts w:ascii="Arial Narrow" w:hAnsi="Arial Narrow"/>
          <w:sz w:val="20"/>
          <w:szCs w:val="20"/>
        </w:rPr>
        <w:t xml:space="preserve">(A full description of the Portfolio’s categories and its detailed topics are available at </w:t>
      </w:r>
      <w:hyperlink r:id="rId10"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w:t>
      </w:r>
    </w:p>
    <w:p w:rsidR="00FE3472" w:rsidRDefault="00FE3472" w:rsidP="009860CD">
      <w:pPr>
        <w:outlineLvl w:val="0"/>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1"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820" w:type="pct"/>
        <w:tblInd w:w="288" w:type="dxa"/>
        <w:tblLook w:val="04A0" w:firstRow="1" w:lastRow="0" w:firstColumn="1" w:lastColumn="0" w:noHBand="0" w:noVBand="1"/>
      </w:tblPr>
      <w:tblGrid>
        <w:gridCol w:w="650"/>
        <w:gridCol w:w="9969"/>
      </w:tblGrid>
      <w:tr w:rsidR="00CF3DE1" w:rsidRPr="0036346B" w:rsidTr="00FE3472">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94"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DE7">
            <w:pPr>
              <w:rPr>
                <w:rFonts w:ascii="Arial Narrow" w:hAnsi="Arial Narrow"/>
                <w:b/>
                <w:i/>
                <w:iCs/>
                <w:sz w:val="20"/>
                <w:szCs w:val="20"/>
              </w:rPr>
            </w:pPr>
          </w:p>
        </w:tc>
        <w:tc>
          <w:tcPr>
            <w:tcW w:w="4694" w:type="pct"/>
            <w:shd w:val="clear" w:color="auto" w:fill="D9D9D9" w:themeFill="background1" w:themeFillShade="D9"/>
          </w:tcPr>
          <w:p w:rsidR="0078704B" w:rsidRPr="0036346B" w:rsidRDefault="00AA3E90" w:rsidP="00425DE7">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DE7">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425DE7">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94"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FE3472">
        <w:trPr>
          <w:trHeight w:val="20"/>
        </w:trPr>
        <w:tc>
          <w:tcPr>
            <w:tcW w:w="306" w:type="pct"/>
            <w:shd w:val="clear" w:color="auto" w:fill="D9D9D9" w:themeFill="background1" w:themeFillShade="D9"/>
            <w:noWrap/>
            <w:hideMark/>
          </w:tcPr>
          <w:p w:rsidR="0078704B" w:rsidRPr="0036346B" w:rsidRDefault="0078704B" w:rsidP="00425DE7">
            <w:pPr>
              <w:rPr>
                <w:rFonts w:ascii="Arial Narrow" w:hAnsi="Arial Narrow"/>
                <w:b/>
                <w:i/>
                <w:iCs/>
                <w:sz w:val="20"/>
                <w:szCs w:val="20"/>
              </w:rPr>
            </w:pPr>
          </w:p>
        </w:tc>
        <w:tc>
          <w:tcPr>
            <w:tcW w:w="4694" w:type="pct"/>
            <w:shd w:val="clear" w:color="auto" w:fill="D9D9D9" w:themeFill="background1" w:themeFillShade="D9"/>
          </w:tcPr>
          <w:p w:rsidR="0078704B" w:rsidRPr="0036346B" w:rsidRDefault="0078704B" w:rsidP="00425DE7">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FE3472">
        <w:trPr>
          <w:trHeight w:val="20"/>
        </w:trPr>
        <w:tc>
          <w:tcPr>
            <w:tcW w:w="306"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94"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footerReference w:type="default" r:id="rId12"/>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7B3" w:rsidRDefault="009147B3" w:rsidP="00CC0C16">
      <w:r>
        <w:separator/>
      </w:r>
    </w:p>
  </w:endnote>
  <w:endnote w:type="continuationSeparator" w:id="0">
    <w:p w:rsidR="009147B3" w:rsidRDefault="009147B3" w:rsidP="00CC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F5" w:rsidRPr="00216099" w:rsidRDefault="00A93CF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Improvement </w:t>
    </w:r>
    <w:r w:rsidRPr="00557FAC">
      <w:rPr>
        <w:rFonts w:asciiTheme="minorHAnsi" w:hAnsiTheme="minorHAnsi" w:cstheme="minorHAnsi"/>
        <w:sz w:val="16"/>
      </w:rPr>
      <w:t>Plan</w:t>
    </w:r>
    <w:r>
      <w:rPr>
        <w:rFonts w:asciiTheme="minorHAnsi" w:hAnsiTheme="minorHAnsi" w:cstheme="minorHAnsi"/>
        <w:sz w:val="16"/>
      </w:rPr>
      <w:t>/</w:t>
    </w:r>
    <w:r w:rsidRPr="00112399">
      <w:rPr>
        <w:rFonts w:asciiTheme="minorHAnsi" w:hAnsiTheme="minorHAnsi" w:cstheme="minorHAnsi"/>
        <w:sz w:val="16"/>
      </w:rPr>
      <w:t xml:space="preserve"> </w:t>
    </w:r>
    <w:r w:rsidRPr="00557FAC">
      <w:rPr>
        <w:rFonts w:asciiTheme="minorHAnsi" w:hAnsiTheme="minorHAnsi" w:cstheme="minorHAnsi"/>
        <w:sz w:val="16"/>
      </w:rPr>
      <w:t xml:space="preserve">Assessment </w:t>
    </w:r>
    <w:r>
      <w:rPr>
        <w:rFonts w:asciiTheme="minorHAnsi" w:hAnsiTheme="minorHAnsi" w:cstheme="minorHAnsi"/>
        <w:sz w:val="16"/>
      </w:rPr>
      <w:t>Report form effective June 2012</w:t>
    </w:r>
    <w:r w:rsidRPr="00557FAC">
      <w:rPr>
        <w:rFonts w:asciiTheme="minorHAnsi" w:hAnsiTheme="minorHAnsi" w:cstheme="minorHAnsi"/>
        <w:sz w:val="16"/>
      </w:rPr>
      <w:t xml:space="preserve">.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Pr="004304D6">
          <w:rPr>
            <w:rFonts w:asciiTheme="minorHAnsi" w:hAnsiTheme="minorHAnsi" w:cstheme="minorHAnsi"/>
            <w:sz w:val="18"/>
          </w:rPr>
          <w:fldChar w:fldCharType="separate"/>
        </w:r>
        <w:r w:rsidR="00E76928">
          <w:rPr>
            <w:rFonts w:asciiTheme="minorHAnsi" w:hAnsiTheme="minorHAnsi" w:cstheme="minorHAnsi"/>
            <w:noProof/>
            <w:sz w:val="18"/>
          </w:rPr>
          <w:t>1</w:t>
        </w:r>
        <w:r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7B3" w:rsidRDefault="009147B3" w:rsidP="00CC0C16">
      <w:r>
        <w:separator/>
      </w:r>
    </w:p>
  </w:footnote>
  <w:footnote w:type="continuationSeparator" w:id="0">
    <w:p w:rsidR="009147B3" w:rsidRDefault="009147B3" w:rsidP="00CC0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330B4"/>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13890"/>
    <w:multiLevelType w:val="hybridMultilevel"/>
    <w:tmpl w:val="54D62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215DD"/>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FD288C"/>
    <w:multiLevelType w:val="hybridMultilevel"/>
    <w:tmpl w:val="4A703530"/>
    <w:lvl w:ilvl="0" w:tplc="E0CEFE9C">
      <w:start w:val="1"/>
      <w:numFmt w:val="decimal"/>
      <w:lvlText w:val="%1."/>
      <w:lvlJc w:val="left"/>
      <w:pPr>
        <w:ind w:left="720" w:hanging="360"/>
      </w:pPr>
      <w:rPr>
        <w:i/>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9B6642"/>
    <w:multiLevelType w:val="hybridMultilevel"/>
    <w:tmpl w:val="8DD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FF629C"/>
    <w:multiLevelType w:val="hybridMultilevel"/>
    <w:tmpl w:val="7D6AB64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271C"/>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4173"/>
    <w:rsid w:val="000E59ED"/>
    <w:rsid w:val="000F46D5"/>
    <w:rsid w:val="000F7E47"/>
    <w:rsid w:val="000F7F86"/>
    <w:rsid w:val="00101B17"/>
    <w:rsid w:val="0010312E"/>
    <w:rsid w:val="00103808"/>
    <w:rsid w:val="001117E7"/>
    <w:rsid w:val="00111CD1"/>
    <w:rsid w:val="00111FBE"/>
    <w:rsid w:val="00112399"/>
    <w:rsid w:val="00114314"/>
    <w:rsid w:val="00120E26"/>
    <w:rsid w:val="001223F5"/>
    <w:rsid w:val="00122E20"/>
    <w:rsid w:val="001269A6"/>
    <w:rsid w:val="00127D44"/>
    <w:rsid w:val="001306EF"/>
    <w:rsid w:val="0013386D"/>
    <w:rsid w:val="00135AB5"/>
    <w:rsid w:val="001416A0"/>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B7F"/>
    <w:rsid w:val="001E41B1"/>
    <w:rsid w:val="001E51BE"/>
    <w:rsid w:val="001E629E"/>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24D0"/>
    <w:rsid w:val="00254735"/>
    <w:rsid w:val="00256E9D"/>
    <w:rsid w:val="002618CE"/>
    <w:rsid w:val="0026340A"/>
    <w:rsid w:val="002705E4"/>
    <w:rsid w:val="00280A8A"/>
    <w:rsid w:val="002834F3"/>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4E27"/>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538"/>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3C9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6BC"/>
    <w:rsid w:val="00406ABA"/>
    <w:rsid w:val="00410D1F"/>
    <w:rsid w:val="00411CF1"/>
    <w:rsid w:val="00411E1D"/>
    <w:rsid w:val="0041682B"/>
    <w:rsid w:val="0041755F"/>
    <w:rsid w:val="00420919"/>
    <w:rsid w:val="0042117D"/>
    <w:rsid w:val="0042273D"/>
    <w:rsid w:val="00424004"/>
    <w:rsid w:val="00424B6E"/>
    <w:rsid w:val="00425D05"/>
    <w:rsid w:val="00425DE7"/>
    <w:rsid w:val="00426286"/>
    <w:rsid w:val="0043047A"/>
    <w:rsid w:val="004304D6"/>
    <w:rsid w:val="0043123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4315"/>
    <w:rsid w:val="00477554"/>
    <w:rsid w:val="00480452"/>
    <w:rsid w:val="004817CF"/>
    <w:rsid w:val="0048195A"/>
    <w:rsid w:val="00482000"/>
    <w:rsid w:val="00483B9F"/>
    <w:rsid w:val="00484A71"/>
    <w:rsid w:val="00486740"/>
    <w:rsid w:val="004875C2"/>
    <w:rsid w:val="004900A1"/>
    <w:rsid w:val="00490689"/>
    <w:rsid w:val="004928DE"/>
    <w:rsid w:val="004934A3"/>
    <w:rsid w:val="00494EDF"/>
    <w:rsid w:val="00494F25"/>
    <w:rsid w:val="00495EB6"/>
    <w:rsid w:val="00496E3D"/>
    <w:rsid w:val="004A1C5C"/>
    <w:rsid w:val="004A22FE"/>
    <w:rsid w:val="004A2A6D"/>
    <w:rsid w:val="004A32BB"/>
    <w:rsid w:val="004A4C2C"/>
    <w:rsid w:val="004A743A"/>
    <w:rsid w:val="004B6A81"/>
    <w:rsid w:val="004B78C6"/>
    <w:rsid w:val="004C153A"/>
    <w:rsid w:val="004C3ED5"/>
    <w:rsid w:val="004C7AFA"/>
    <w:rsid w:val="004D001C"/>
    <w:rsid w:val="004D495B"/>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4D32"/>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0A9D"/>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0C9F"/>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60EE"/>
    <w:rsid w:val="006B72E6"/>
    <w:rsid w:val="006C1E44"/>
    <w:rsid w:val="006C22DA"/>
    <w:rsid w:val="006C243E"/>
    <w:rsid w:val="006C42F2"/>
    <w:rsid w:val="006C5DB5"/>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44E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AD6"/>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0784"/>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2A85"/>
    <w:rsid w:val="008C4D41"/>
    <w:rsid w:val="008C6673"/>
    <w:rsid w:val="008C752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47B3"/>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4C0F"/>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07684"/>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29F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3CF5"/>
    <w:rsid w:val="00A96825"/>
    <w:rsid w:val="00A9777C"/>
    <w:rsid w:val="00A978FD"/>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79"/>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732C3"/>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3E27"/>
    <w:rsid w:val="00C67680"/>
    <w:rsid w:val="00C67834"/>
    <w:rsid w:val="00C72E5C"/>
    <w:rsid w:val="00C76CC7"/>
    <w:rsid w:val="00C77216"/>
    <w:rsid w:val="00C77F88"/>
    <w:rsid w:val="00C80086"/>
    <w:rsid w:val="00C80C41"/>
    <w:rsid w:val="00C81167"/>
    <w:rsid w:val="00C82D01"/>
    <w:rsid w:val="00C83656"/>
    <w:rsid w:val="00C849B1"/>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1909"/>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226"/>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8BB"/>
    <w:rsid w:val="00D2331A"/>
    <w:rsid w:val="00D23320"/>
    <w:rsid w:val="00D2796A"/>
    <w:rsid w:val="00D31BC4"/>
    <w:rsid w:val="00D36E25"/>
    <w:rsid w:val="00D427AA"/>
    <w:rsid w:val="00D465BC"/>
    <w:rsid w:val="00D524D8"/>
    <w:rsid w:val="00D52614"/>
    <w:rsid w:val="00D5392F"/>
    <w:rsid w:val="00D544F2"/>
    <w:rsid w:val="00D546C7"/>
    <w:rsid w:val="00D552BB"/>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87221"/>
    <w:rsid w:val="00D901F3"/>
    <w:rsid w:val="00D93076"/>
    <w:rsid w:val="00D9337C"/>
    <w:rsid w:val="00D9541A"/>
    <w:rsid w:val="00D95B04"/>
    <w:rsid w:val="00D95C56"/>
    <w:rsid w:val="00D964D8"/>
    <w:rsid w:val="00D977D6"/>
    <w:rsid w:val="00DA586B"/>
    <w:rsid w:val="00DA6D7E"/>
    <w:rsid w:val="00DA76B9"/>
    <w:rsid w:val="00DB2706"/>
    <w:rsid w:val="00DB465C"/>
    <w:rsid w:val="00DB4D45"/>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5313"/>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72C43"/>
    <w:rsid w:val="00E7594A"/>
    <w:rsid w:val="00E76928"/>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27EA"/>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3472"/>
    <w:rsid w:val="00FE7929"/>
    <w:rsid w:val="00FF0373"/>
    <w:rsid w:val="00FF2E6A"/>
    <w:rsid w:val="00FF2EC1"/>
    <w:rsid w:val="00FF4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C6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21745530">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564875709">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 w:id="21135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mu.edu/roadmap2015" TargetMode="External"/><Relationship Id="rId5" Type="http://schemas.openxmlformats.org/officeDocument/2006/relationships/settings" Target="settings.xml"/><Relationship Id="rId10" Type="http://schemas.openxmlformats.org/officeDocument/2006/relationships/hyperlink" Target="http://www.nmu.edu/aqip" TargetMode="External"/><Relationship Id="rId4" Type="http://schemas.microsoft.com/office/2007/relationships/stylesWithEffects" Target="stylesWithEffects.xml"/><Relationship Id="rId9" Type="http://schemas.openxmlformats.org/officeDocument/2006/relationships/hyperlink" Target="http://www.nmu.edu/aqi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7BB0-7CC6-4029-A331-7A49ACD8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2</cp:revision>
  <dcterms:created xsi:type="dcterms:W3CDTF">2012-10-12T17:11:00Z</dcterms:created>
  <dcterms:modified xsi:type="dcterms:W3CDTF">2012-10-12T17:11:00Z</dcterms:modified>
</cp:coreProperties>
</file>